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18" w:tblpY="536"/>
        <w:tblOverlap w:val="never"/>
        <w:tblW w:w="90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250"/>
        <w:gridCol w:w="4820"/>
        <w:gridCol w:w="1090"/>
      </w:tblGrid>
      <w:tr w14:paraId="1831E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8" w:type="dxa"/>
            <w:noWrap w:val="0"/>
            <w:vAlign w:val="top"/>
          </w:tcPr>
          <w:p w14:paraId="165AD374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50" w:type="dxa"/>
            <w:noWrap w:val="0"/>
            <w:vAlign w:val="top"/>
          </w:tcPr>
          <w:p w14:paraId="6CE9FEE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820" w:type="dxa"/>
            <w:noWrap w:val="0"/>
            <w:vAlign w:val="top"/>
          </w:tcPr>
          <w:p w14:paraId="098D5B7D">
            <w:pPr>
              <w:ind w:firstLine="960" w:firstLineChars="3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项目名称 </w:t>
            </w:r>
          </w:p>
        </w:tc>
        <w:tc>
          <w:tcPr>
            <w:tcW w:w="1090" w:type="dxa"/>
            <w:noWrap w:val="0"/>
            <w:vAlign w:val="top"/>
          </w:tcPr>
          <w:p w14:paraId="13FC367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得 分</w:t>
            </w:r>
          </w:p>
        </w:tc>
      </w:tr>
      <w:tr w14:paraId="1506D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98" w:type="dxa"/>
            <w:noWrap w:val="0"/>
            <w:vAlign w:val="top"/>
          </w:tcPr>
          <w:p w14:paraId="6C7D4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360" w:lineRule="auto"/>
              <w:ind w:firstLine="320" w:firstLineChars="100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 w14:paraId="2CCCAAAA">
            <w:pPr>
              <w:spacing w:after="240" w:line="240" w:lineRule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w w:val="100"/>
                <w:sz w:val="32"/>
                <w:szCs w:val="32"/>
                <w:lang w:eastAsia="zh-CN"/>
              </w:rPr>
              <w:t>四川玺岱科技开发有限公司</w:t>
            </w:r>
          </w:p>
        </w:tc>
        <w:tc>
          <w:tcPr>
            <w:tcW w:w="4820" w:type="dxa"/>
            <w:noWrap w:val="0"/>
            <w:vAlign w:val="top"/>
          </w:tcPr>
          <w:p w14:paraId="7A933E62">
            <w:pPr>
              <w:spacing w:after="24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数字化智慧工厂</w:t>
            </w:r>
          </w:p>
        </w:tc>
        <w:tc>
          <w:tcPr>
            <w:tcW w:w="1090" w:type="dxa"/>
            <w:noWrap w:val="0"/>
            <w:vAlign w:val="top"/>
          </w:tcPr>
          <w:p w14:paraId="33A3AC34">
            <w:pPr>
              <w:spacing w:after="24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83.4</w:t>
            </w:r>
          </w:p>
        </w:tc>
      </w:tr>
      <w:tr w14:paraId="25571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98" w:type="dxa"/>
            <w:noWrap w:val="0"/>
            <w:vAlign w:val="top"/>
          </w:tcPr>
          <w:p w14:paraId="54136C85">
            <w:pPr>
              <w:spacing w:after="240" w:line="24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50" w:type="dxa"/>
            <w:noWrap w:val="0"/>
            <w:vAlign w:val="top"/>
          </w:tcPr>
          <w:p w14:paraId="6003CF6D">
            <w:pPr>
              <w:spacing w:after="240" w:line="240" w:lineRule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color w:val="000000"/>
                <w:w w:val="100"/>
                <w:sz w:val="32"/>
                <w:szCs w:val="32"/>
                <w:lang w:eastAsia="zh-CN"/>
              </w:rPr>
              <w:t>四川铭</w:t>
            </w:r>
            <w:r>
              <w:rPr>
                <w:rFonts w:hint="eastAsia" w:ascii="仿宋_GB2312" w:hAnsi="Calibri" w:eastAsia="仿宋_GB2312"/>
                <w:color w:val="000000"/>
                <w:w w:val="100"/>
                <w:sz w:val="32"/>
                <w:szCs w:val="32"/>
                <w:lang w:val="en-US" w:eastAsia="zh-CN"/>
              </w:rPr>
              <w:t>宣</w:t>
            </w:r>
            <w:r>
              <w:rPr>
                <w:rFonts w:hint="eastAsia" w:ascii="仿宋_GB2312" w:hAnsi="Calibri" w:eastAsia="仿宋_GB2312"/>
                <w:color w:val="000000"/>
                <w:w w:val="100"/>
                <w:sz w:val="32"/>
                <w:szCs w:val="32"/>
                <w:lang w:eastAsia="zh-CN"/>
              </w:rPr>
              <w:t>光磁科技有限公司</w:t>
            </w:r>
          </w:p>
        </w:tc>
        <w:tc>
          <w:tcPr>
            <w:tcW w:w="4820" w:type="dxa"/>
            <w:noWrap w:val="0"/>
            <w:vAlign w:val="top"/>
          </w:tcPr>
          <w:p w14:paraId="676D653B">
            <w:pPr>
              <w:spacing w:after="240" w:line="240" w:lineRule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高可靠性高频变压器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1090" w:type="dxa"/>
            <w:noWrap w:val="0"/>
            <w:vAlign w:val="top"/>
          </w:tcPr>
          <w:p w14:paraId="0001797A">
            <w:pPr>
              <w:spacing w:after="240" w:line="240" w:lineRule="auto"/>
              <w:outlineLvl w:val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74.8</w:t>
            </w:r>
          </w:p>
        </w:tc>
      </w:tr>
      <w:tr w14:paraId="00795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98" w:type="dxa"/>
            <w:noWrap w:val="0"/>
            <w:vAlign w:val="top"/>
          </w:tcPr>
          <w:p w14:paraId="28D89994">
            <w:pPr>
              <w:spacing w:line="24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50" w:type="dxa"/>
            <w:noWrap w:val="0"/>
            <w:vAlign w:val="top"/>
          </w:tcPr>
          <w:p w14:paraId="1CEC049C">
            <w:pPr>
              <w:spacing w:after="240" w:line="240" w:lineRule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w w:val="100"/>
                <w:sz w:val="32"/>
                <w:szCs w:val="32"/>
                <w:lang w:eastAsia="zh-CN"/>
              </w:rPr>
              <w:t>乐山华泽科技有限公司</w:t>
            </w:r>
          </w:p>
        </w:tc>
        <w:tc>
          <w:tcPr>
            <w:tcW w:w="4820" w:type="dxa"/>
            <w:noWrap w:val="0"/>
            <w:vAlign w:val="top"/>
          </w:tcPr>
          <w:p w14:paraId="4CB772B3">
            <w:pPr>
              <w:spacing w:after="240" w:line="240" w:lineRule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核医学科辐射环境监测与个人剂量报警设备研发项目</w:t>
            </w:r>
          </w:p>
        </w:tc>
        <w:tc>
          <w:tcPr>
            <w:tcW w:w="1090" w:type="dxa"/>
            <w:noWrap w:val="0"/>
            <w:vAlign w:val="top"/>
          </w:tcPr>
          <w:p w14:paraId="5FDA11A3">
            <w:pPr>
              <w:spacing w:after="240" w:line="240" w:lineRule="auto"/>
              <w:outlineLvl w:val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74.8</w:t>
            </w:r>
          </w:p>
        </w:tc>
      </w:tr>
      <w:tr w14:paraId="5F017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98" w:type="dxa"/>
            <w:noWrap w:val="0"/>
            <w:vAlign w:val="top"/>
          </w:tcPr>
          <w:p w14:paraId="6778EA86">
            <w:pPr>
              <w:spacing w:line="24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50" w:type="dxa"/>
            <w:noWrap w:val="0"/>
            <w:vAlign w:val="top"/>
          </w:tcPr>
          <w:p w14:paraId="30FDE2ED">
            <w:pPr>
              <w:spacing w:after="240" w:line="240" w:lineRule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w w:val="100"/>
                <w:sz w:val="32"/>
                <w:szCs w:val="32"/>
                <w:lang w:eastAsia="zh-CN"/>
              </w:rPr>
              <w:t>乐山之城文旅科技有限公司</w:t>
            </w:r>
          </w:p>
        </w:tc>
        <w:tc>
          <w:tcPr>
            <w:tcW w:w="4820" w:type="dxa"/>
            <w:noWrap w:val="0"/>
            <w:vAlign w:val="top"/>
          </w:tcPr>
          <w:p w14:paraId="33890391">
            <w:pPr>
              <w:spacing w:after="240" w:line="240" w:lineRule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乐go嘉州电商系统</w:t>
            </w:r>
          </w:p>
        </w:tc>
        <w:tc>
          <w:tcPr>
            <w:tcW w:w="1090" w:type="dxa"/>
            <w:noWrap w:val="0"/>
            <w:vAlign w:val="top"/>
          </w:tcPr>
          <w:p w14:paraId="49AEBE7E">
            <w:pPr>
              <w:spacing w:after="240" w:line="240" w:lineRule="auto"/>
              <w:jc w:val="both"/>
              <w:outlineLvl w:val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67.6</w:t>
            </w:r>
          </w:p>
        </w:tc>
      </w:tr>
    </w:tbl>
    <w:p w14:paraId="422764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8514F"/>
    <w:rsid w:val="1358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2024-11-25T09:21:00Z</dcterms:created>
  <dc:creator>程鹏颖</dc:creator>
  <cp:lastModifiedBy>程鹏颖</cp:lastModifiedBy>
  <dcterms:modified xsi:type="dcterms:W3CDTF">2024-11-25T09:22:43Z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571902AD0CFA43CCB149350E9608B903_11</vt:lpwstr>
  </property>
</Properties>
</file>