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spacing w:line="560" w:lineRule="exact"/>
        <w:jc w:val="center"/>
        <w:rPr>
          <w:rFonts w:ascii="方正小标宋简体" w:hAnsi="方正小标宋简体" w:eastAsia="方正小标宋简体" w:cs="方正小标宋简体"/>
          <w:color w:val="000000"/>
          <w:sz w:val="44"/>
          <w:szCs w:val="44"/>
        </w:rPr>
      </w:pPr>
    </w:p>
    <w:p>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1" w:name="_Toc26484"/>
      <w:bookmarkStart w:id="2" w:name="_Toc15396597"/>
      <w:bookmarkStart w:id="3" w:name="_Toc15378441"/>
      <w:bookmarkStart w:id="4" w:name="_Toc15377425"/>
      <w:bookmarkStart w:id="5" w:name="_Toc15377193"/>
      <w:bookmarkStart w:id="6" w:name="_Toc15396475"/>
      <w:r>
        <w:rPr>
          <w:rFonts w:hint="eastAsia" w:ascii="方正小标宋简体" w:hAnsi="方正小标宋简体" w:eastAsia="方正小标宋简体" w:cs="方正小标宋简体"/>
          <w:color w:val="000000"/>
          <w:sz w:val="44"/>
          <w:szCs w:val="44"/>
        </w:rPr>
        <w:t>2020年度</w:t>
      </w:r>
      <w:bookmarkEnd w:id="1"/>
      <w:bookmarkEnd w:id="2"/>
      <w:bookmarkEnd w:id="3"/>
      <w:bookmarkEnd w:id="4"/>
      <w:bookmarkEnd w:id="5"/>
      <w:bookmarkEnd w:id="6"/>
    </w:p>
    <w:bookmarkEnd w:id="0"/>
    <w:p>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7" w:name="_Toc15396598"/>
      <w:bookmarkStart w:id="8" w:name="_Toc15378442"/>
      <w:bookmarkStart w:id="9" w:name="_Toc15377194"/>
      <w:bookmarkStart w:id="10" w:name="_Toc15377426"/>
      <w:bookmarkStart w:id="11" w:name="_Toc15306268"/>
      <w:bookmarkStart w:id="12" w:name="_Toc15396476"/>
      <w:bookmarkStart w:id="13" w:name="_Toc14965"/>
      <w:r>
        <w:rPr>
          <w:rFonts w:hint="eastAsia" w:ascii="方正小标宋简体" w:hAnsi="方正小标宋简体" w:eastAsia="方正小标宋简体" w:cs="方正小标宋简体"/>
          <w:color w:val="000000"/>
          <w:sz w:val="44"/>
          <w:szCs w:val="44"/>
        </w:rPr>
        <w:t>四川省乐山市高新技术产业开发区土地储备中心部门决算</w:t>
      </w:r>
      <w:bookmarkEnd w:id="7"/>
      <w:bookmarkEnd w:id="8"/>
      <w:bookmarkEnd w:id="9"/>
      <w:bookmarkEnd w:id="10"/>
      <w:bookmarkEnd w:id="11"/>
      <w:bookmarkEnd w:id="12"/>
      <w:bookmarkEnd w:id="13"/>
    </w:p>
    <w:p>
      <w:pPr>
        <w:adjustRightInd w:val="0"/>
        <w:snapToGrid w:val="0"/>
        <w:spacing w:line="360" w:lineRule="auto"/>
        <w:jc w:val="center"/>
        <w:rPr>
          <w:rFonts w:ascii="方正小标宋简体" w:hAnsi="宋体" w:eastAsia="方正小标宋简体"/>
          <w:color w:val="000000"/>
          <w:sz w:val="52"/>
          <w:szCs w:val="52"/>
        </w:rPr>
      </w:pPr>
    </w:p>
    <w:p>
      <w:pPr>
        <w:widowControl/>
        <w:jc w:val="center"/>
        <w:rPr>
          <w:rFonts w:ascii="方正小标宋简体" w:hAnsi="方正小标宋简体" w:eastAsia="方正小标宋简体" w:cs="方正小标宋简体"/>
          <w:sz w:val="28"/>
          <w:szCs w:val="28"/>
        </w:rPr>
      </w:pPr>
      <w:r>
        <w:rPr>
          <w:rFonts w:ascii="方正小标宋简体" w:hAnsi="宋体" w:eastAsia="方正小标宋简体"/>
          <w:color w:val="000000"/>
          <w:sz w:val="36"/>
          <w:szCs w:val="36"/>
        </w:rPr>
        <w:br w:type="page"/>
      </w:r>
      <w:r>
        <w:rPr>
          <w:rFonts w:hint="eastAsia" w:ascii="方正小标宋简体" w:hAnsi="方正小标宋简体" w:eastAsia="方正小标宋简体" w:cs="方正小标宋简体"/>
          <w:color w:val="000000"/>
          <w:sz w:val="48"/>
          <w:szCs w:val="48"/>
        </w:rPr>
        <w:t>目录</w:t>
      </w:r>
    </w:p>
    <w:p>
      <w:pPr>
        <w:pStyle w:val="12"/>
        <w:rPr>
          <w:rFonts w:ascii="仿宋_GB2312" w:hAnsi="仿宋_GB2312" w:eastAsia="仿宋_GB2312" w:cs="仿宋_GB2312"/>
        </w:rPr>
      </w:pPr>
      <w:r>
        <w:rPr>
          <w:rFonts w:hint="eastAsia" w:ascii="仿宋_GB2312" w:hAnsi="仿宋_GB2312" w:eastAsia="仿宋_GB2312" w:cs="仿宋_GB2312"/>
        </w:rPr>
        <w:t>公开时间：2020年11月9日</w:t>
      </w:r>
    </w:p>
    <w:sdt>
      <w:sdtPr>
        <w:rPr>
          <w:rFonts w:ascii="宋体" w:hAnsi="宋体"/>
        </w:rPr>
        <w:id w:val="147469942"/>
        <w:docPartObj>
          <w:docPartGallery w:val="Table of Contents"/>
          <w:docPartUnique/>
        </w:docPartObj>
      </w:sdtPr>
      <w:sdtEndPr>
        <w:rPr>
          <w:rFonts w:ascii="宋体" w:hAnsi="宋体"/>
          <w:b/>
        </w:rPr>
      </w:sdtEndPr>
      <w:sdtContent>
        <w:p>
          <w:pPr>
            <w:jc w:val="center"/>
          </w:pPr>
          <w:bookmarkStart w:id="14" w:name="_Toc15396599"/>
          <w:bookmarkStart w:id="15" w:name="_Toc15377196"/>
        </w:p>
        <w:p>
          <w:pPr>
            <w:pStyle w:val="12"/>
            <w:tabs>
              <w:tab w:val="right" w:leader="dot" w:pos="8306"/>
              <w:tab w:val="clear" w:pos="8296"/>
            </w:tabs>
            <w:rPr>
              <w:rFonts w:cs="仿宋"/>
            </w:rPr>
          </w:pPr>
          <w:r>
            <w:rPr>
              <w:rFonts w:hint="eastAsia" w:cs="仿宋"/>
            </w:rPr>
            <w:fldChar w:fldCharType="begin"/>
          </w:r>
          <w:r>
            <w:rPr>
              <w:rFonts w:hint="eastAsia" w:cs="仿宋"/>
            </w:rPr>
            <w:instrText xml:space="preserve">TOC \o "1-2" \h \u </w:instrText>
          </w:r>
          <w:r>
            <w:rPr>
              <w:rFonts w:hint="eastAsia" w:cs="仿宋"/>
            </w:rPr>
            <w:fldChar w:fldCharType="separate"/>
          </w:r>
          <w:r>
            <w:fldChar w:fldCharType="begin"/>
          </w:r>
          <w:r>
            <w:instrText xml:space="preserve"> HYPERLINK \l "_Toc2451" </w:instrText>
          </w:r>
          <w:r>
            <w:fldChar w:fldCharType="separate"/>
          </w:r>
          <w:r>
            <w:rPr>
              <w:rFonts w:hint="eastAsia" w:cs="仿宋"/>
              <w:b/>
              <w:bCs/>
            </w:rPr>
            <w:t>第一部分 部门概况</w:t>
          </w:r>
          <w:r>
            <w:rPr>
              <w:rFonts w:hint="eastAsia" w:cs="仿宋"/>
              <w:b/>
              <w:bCs/>
            </w:rPr>
            <w:tab/>
          </w:r>
          <w:r>
            <w:rPr>
              <w:rFonts w:hint="eastAsia" w:cs="仿宋"/>
              <w:b/>
              <w:bCs/>
            </w:rPr>
            <w:fldChar w:fldCharType="begin"/>
          </w:r>
          <w:r>
            <w:rPr>
              <w:rFonts w:hint="eastAsia" w:cs="仿宋"/>
              <w:b/>
              <w:bCs/>
            </w:rPr>
            <w:instrText xml:space="preserve"> PAGEREF _Toc2451 \h </w:instrText>
          </w:r>
          <w:r>
            <w:rPr>
              <w:rFonts w:hint="eastAsia" w:cs="仿宋"/>
              <w:b/>
              <w:bCs/>
            </w:rPr>
            <w:fldChar w:fldCharType="separate"/>
          </w:r>
          <w:r>
            <w:rPr>
              <w:rFonts w:hint="eastAsia" w:cs="仿宋"/>
              <w:b/>
              <w:bCs/>
            </w:rPr>
            <w:t>4</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"_Toc2007" </w:instrText>
          </w:r>
          <w:r>
            <w:fldChar w:fldCharType="separate"/>
          </w:r>
          <w:r>
            <w:rPr>
              <w:rFonts w:hint="eastAsia" w:ascii="仿宋" w:hAnsi="仿宋" w:eastAsia="仿宋" w:cs="仿宋"/>
              <w:sz w:val="28"/>
              <w:szCs w:val="28"/>
            </w:rPr>
            <w:t>一、 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"_Toc5492"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 w:val="clear" w:pos="8296"/>
            </w:tabs>
            <w:rPr>
              <w:rFonts w:cs="仿宋"/>
              <w:b/>
              <w:bCs/>
            </w:rPr>
          </w:pPr>
          <w:r>
            <w:fldChar w:fldCharType="begin"/>
          </w:r>
          <w:r>
            <w:instrText xml:space="preserve"> HYPERLINK \l "_Toc20237" </w:instrText>
          </w:r>
          <w:r>
            <w:fldChar w:fldCharType="separate"/>
          </w:r>
          <w:r>
            <w:rPr>
              <w:rFonts w:hint="eastAsia" w:cs="仿宋"/>
              <w:b/>
              <w:bCs/>
            </w:rPr>
            <w:t>第二部分 2020年度部门决算情况说明</w:t>
          </w:r>
          <w:r>
            <w:rPr>
              <w:rFonts w:hint="eastAsia" w:cs="仿宋"/>
              <w:b/>
              <w:bCs/>
            </w:rPr>
            <w:tab/>
          </w:r>
          <w:r>
            <w:rPr>
              <w:rFonts w:hint="eastAsia" w:cs="仿宋"/>
              <w:b/>
              <w:bCs/>
            </w:rPr>
            <w:fldChar w:fldCharType="begin"/>
          </w:r>
          <w:r>
            <w:rPr>
              <w:rFonts w:hint="eastAsia" w:cs="仿宋"/>
              <w:b/>
              <w:bCs/>
            </w:rPr>
            <w:instrText xml:space="preserve"> PAGEREF _Toc20237 \h </w:instrText>
          </w:r>
          <w:r>
            <w:rPr>
              <w:rFonts w:hint="eastAsia" w:cs="仿宋"/>
              <w:b/>
              <w:bCs/>
            </w:rPr>
            <w:fldChar w:fldCharType="separate"/>
          </w:r>
          <w:r>
            <w:rPr>
              <w:rFonts w:hint="eastAsia" w:cs="仿宋"/>
              <w:b/>
              <w:bCs/>
            </w:rPr>
            <w:t>6</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"_Toc18406"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"_Toc17821"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_Toc17821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"_Toc18465"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_Toc18465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"_Toc28747"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_Toc28747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"_Toc16540"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_Toc16540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"_Toc11625"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_Toc11625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"_Toc25909"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_Toc25909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"_Toc15592"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_Toc15592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"_Toc2937"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"_Toc26109"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_Toc26109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 w:val="clear" w:pos="8296"/>
            </w:tabs>
            <w:rPr>
              <w:rFonts w:cs="仿宋"/>
              <w:b/>
              <w:bCs/>
            </w:rPr>
          </w:pPr>
          <w:r>
            <w:fldChar w:fldCharType="begin"/>
          </w:r>
          <w:r>
            <w:instrText xml:space="preserve"> HYPERLINK \l "_Toc28216" </w:instrText>
          </w:r>
          <w:r>
            <w:fldChar w:fldCharType="separate"/>
          </w:r>
          <w:r>
            <w:rPr>
              <w:rFonts w:hint="eastAsia" w:cs="仿宋"/>
              <w:b/>
              <w:bCs/>
            </w:rPr>
            <w:t>第三部分 名词解释</w:t>
          </w:r>
          <w:r>
            <w:rPr>
              <w:rFonts w:hint="eastAsia" w:cs="仿宋"/>
              <w:b/>
              <w:bCs/>
            </w:rPr>
            <w:tab/>
          </w:r>
          <w:r>
            <w:rPr>
              <w:rFonts w:hint="eastAsia" w:cs="仿宋"/>
              <w:b/>
              <w:bCs/>
            </w:rPr>
            <w:fldChar w:fldCharType="begin"/>
          </w:r>
          <w:r>
            <w:rPr>
              <w:rFonts w:hint="eastAsia" w:cs="仿宋"/>
              <w:b/>
              <w:bCs/>
            </w:rPr>
            <w:instrText xml:space="preserve"> PAGEREF _Toc28216 \h </w:instrText>
          </w:r>
          <w:r>
            <w:rPr>
              <w:rFonts w:hint="eastAsia" w:cs="仿宋"/>
              <w:b/>
              <w:bCs/>
            </w:rPr>
            <w:fldChar w:fldCharType="separate"/>
          </w:r>
          <w:r>
            <w:rPr>
              <w:rFonts w:hint="eastAsia" w:cs="仿宋"/>
              <w:b/>
              <w:bCs/>
            </w:rPr>
            <w:t>24</w:t>
          </w:r>
          <w:r>
            <w:rPr>
              <w:rFonts w:hint="eastAsia" w:cs="仿宋"/>
              <w:b/>
              <w:bCs/>
            </w:rPr>
            <w:fldChar w:fldCharType="end"/>
          </w:r>
          <w:r>
            <w:rPr>
              <w:rFonts w:hint="eastAsia" w:cs="仿宋"/>
              <w:b/>
              <w:bCs/>
            </w:rPr>
            <w:fldChar w:fldCharType="end"/>
          </w:r>
        </w:p>
        <w:p>
          <w:pPr>
            <w:pStyle w:val="12"/>
            <w:tabs>
              <w:tab w:val="right" w:leader="dot" w:pos="8306"/>
              <w:tab w:val="clear" w:pos="8296"/>
            </w:tabs>
            <w:rPr>
              <w:rFonts w:cs="仿宋"/>
            </w:rPr>
          </w:pPr>
          <w:r>
            <w:fldChar w:fldCharType="begin"/>
          </w:r>
          <w:r>
            <w:instrText xml:space="preserve"> HYPERLINK \l "_Toc3807" </w:instrText>
          </w:r>
          <w:r>
            <w:fldChar w:fldCharType="separate"/>
          </w:r>
          <w:r>
            <w:rPr>
              <w:rFonts w:hint="eastAsia" w:cs="仿宋"/>
              <w:b/>
              <w:bCs/>
            </w:rPr>
            <w:t>第四部分 附件</w:t>
          </w:r>
          <w:r>
            <w:rPr>
              <w:rFonts w:hint="eastAsia" w:cs="仿宋"/>
              <w:b/>
              <w:bCs/>
            </w:rPr>
            <w:tab/>
          </w:r>
          <w:r>
            <w:rPr>
              <w:rFonts w:hint="eastAsia" w:cs="仿宋"/>
              <w:b/>
              <w:bCs/>
            </w:rPr>
            <w:fldChar w:fldCharType="begin"/>
          </w:r>
          <w:r>
            <w:rPr>
              <w:rFonts w:hint="eastAsia" w:cs="仿宋"/>
              <w:b/>
              <w:bCs/>
            </w:rPr>
            <w:instrText xml:space="preserve"> PAGEREF _Toc3807 \h </w:instrText>
          </w:r>
          <w:r>
            <w:rPr>
              <w:rFonts w:hint="eastAsia" w:cs="仿宋"/>
              <w:b/>
              <w:bCs/>
            </w:rPr>
            <w:fldChar w:fldCharType="separate"/>
          </w:r>
          <w:r>
            <w:rPr>
              <w:rFonts w:hint="eastAsia" w:cs="仿宋"/>
              <w:b/>
              <w:bCs/>
            </w:rPr>
            <w:t>29</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"_Toc16086" </w:instrText>
          </w:r>
          <w: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_Toc16086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 w:val="clear" w:pos="8296"/>
            </w:tabs>
            <w:rPr>
              <w:rFonts w:cs="仿宋"/>
              <w:b/>
              <w:bCs/>
            </w:rPr>
          </w:pPr>
          <w:r>
            <w:fldChar w:fldCharType="begin"/>
          </w:r>
          <w:r>
            <w:instrText xml:space="preserve"> HYPERLINK \l "_Toc31214" </w:instrText>
          </w:r>
          <w:r>
            <w:fldChar w:fldCharType="separate"/>
          </w:r>
          <w:r>
            <w:rPr>
              <w:rFonts w:hint="eastAsia" w:cs="仿宋"/>
              <w:b/>
              <w:bCs/>
            </w:rPr>
            <w:t>第五部分 附表</w:t>
          </w:r>
          <w:r>
            <w:rPr>
              <w:rFonts w:hint="eastAsia" w:cs="仿宋"/>
              <w:b/>
              <w:bCs/>
            </w:rPr>
            <w:tab/>
          </w:r>
          <w:r>
            <w:rPr>
              <w:rFonts w:hint="eastAsia" w:cs="仿宋"/>
              <w:b/>
              <w:bCs/>
            </w:rPr>
            <w:fldChar w:fldCharType="begin"/>
          </w:r>
          <w:r>
            <w:rPr>
              <w:rFonts w:hint="eastAsia" w:cs="仿宋"/>
              <w:b/>
              <w:bCs/>
            </w:rPr>
            <w:instrText xml:space="preserve"> PAGEREF _Toc31214 \h </w:instrText>
          </w:r>
          <w:r>
            <w:rPr>
              <w:rFonts w:hint="eastAsia" w:cs="仿宋"/>
              <w:b/>
              <w:bCs/>
            </w:rPr>
            <w:fldChar w:fldCharType="separate"/>
          </w:r>
          <w:r>
            <w:rPr>
              <w:rFonts w:hint="eastAsia" w:cs="仿宋"/>
              <w:b/>
              <w:bCs/>
            </w:rPr>
            <w:t>35</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"_Toc3440"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"_Toc25157"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_Toc25157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"_Toc10980"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"_Toc23585"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_Toc23585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"_Toc17873"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_Toc17873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"_Toc29816"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_Toc29816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"_Toc14733"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_Toc14733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"_Toc31392"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_Toc31392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"_Toc15393"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_Toc15393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"_Toc2143"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"_Toc21654"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_Toc21654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"_Toc29576"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_Toc29576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"_Toc2205" </w:instrText>
          </w:r>
          <w:r>
            <w:fldChar w:fldCharType="separate"/>
          </w:r>
          <w:r>
            <w:rPr>
              <w:rFonts w:hint="eastAsia" w:ascii="仿宋" w:hAnsi="仿宋" w:eastAsia="仿宋" w:cs="仿宋"/>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"_Toc15761" </w:instrText>
          </w:r>
          <w:r>
            <w:fldChar w:fldCharType="separate"/>
          </w:r>
          <w:r>
            <w:rPr>
              <w:rFonts w:hint="eastAsia" w:ascii="仿宋" w:hAnsi="仿宋" w:eastAsia="仿宋" w:cs="仿宋"/>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_Toc15761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rPr>
              <w:rFonts w:hint="eastAsia" w:ascii="仿宋" w:hAnsi="仿宋" w:eastAsia="仿宋" w:cs="仿宋"/>
              <w:sz w:val="28"/>
              <w:szCs w:val="28"/>
            </w:rP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numPr>
          <w:ilvl w:val="0"/>
          <w:numId w:val="3"/>
        </w:numPr>
        <w:spacing w:before="0" w:after="0" w:line="560" w:lineRule="exact"/>
        <w:jc w:val="center"/>
        <w:rPr>
          <w:rStyle w:val="29"/>
          <w:rFonts w:ascii="方正小标宋简体" w:hAnsi="方正小标宋简体" w:eastAsia="方正小标宋简体" w:cs="方正小标宋简体"/>
          <w:b w:val="0"/>
          <w:bCs w:val="0"/>
        </w:rPr>
      </w:pPr>
      <w:bookmarkStart w:id="16" w:name="_Toc2451"/>
      <w:r>
        <w:rPr>
          <w:rStyle w:val="29"/>
          <w:rFonts w:hint="eastAsia" w:ascii="方正小标宋简体" w:hAnsi="方正小标宋简体" w:eastAsia="方正小标宋简体" w:cs="方正小标宋简体"/>
          <w:b w:val="0"/>
          <w:bCs w:val="0"/>
        </w:rPr>
        <w:t>部门概况</w:t>
      </w:r>
      <w:bookmarkEnd w:id="14"/>
      <w:bookmarkEnd w:id="15"/>
      <w:bookmarkEnd w:id="16"/>
    </w:p>
    <w:p/>
    <w:p>
      <w:pPr>
        <w:pStyle w:val="4"/>
        <w:numPr>
          <w:ilvl w:val="0"/>
          <w:numId w:val="4"/>
        </w:numPr>
        <w:spacing w:before="0" w:after="0" w:line="560" w:lineRule="exact"/>
        <w:rPr>
          <w:rStyle w:val="30"/>
          <w:rFonts w:ascii="黑体" w:hAnsi="黑体" w:eastAsia="黑体"/>
          <w:b w:val="0"/>
          <w:bCs w:val="0"/>
        </w:rPr>
      </w:pPr>
      <w:bookmarkStart w:id="17" w:name="_Toc2007"/>
      <w:bookmarkStart w:id="18" w:name="_Toc15377197"/>
      <w:bookmarkStart w:id="19" w:name="_Toc15396600"/>
      <w:r>
        <w:rPr>
          <w:rFonts w:hint="eastAsia" w:ascii="黑体" w:hAnsi="黑体" w:eastAsia="黑体"/>
          <w:b w:val="0"/>
          <w:color w:val="000000"/>
        </w:rPr>
        <w:t>基</w:t>
      </w:r>
      <w:r>
        <w:rPr>
          <w:rStyle w:val="30"/>
          <w:rFonts w:hint="eastAsia" w:ascii="黑体" w:hAnsi="黑体" w:eastAsia="黑体"/>
          <w:b w:val="0"/>
          <w:bCs w:val="0"/>
        </w:rPr>
        <w:t>本职能及主要工作</w:t>
      </w:r>
      <w:bookmarkEnd w:id="17"/>
      <w:bookmarkEnd w:id="18"/>
      <w:bookmarkEnd w:id="19"/>
    </w:p>
    <w:p>
      <w:pPr>
        <w:pStyle w:val="7"/>
        <w:numPr>
          <w:ilvl w:val="0"/>
          <w:numId w:val="5"/>
        </w:numPr>
        <w:adjustRightInd w:val="0"/>
        <w:snapToGrid w:val="0"/>
        <w:spacing w:beforeLines="0" w:line="560" w:lineRule="exact"/>
        <w:ind w:firstLine="672" w:firstLineChars="210"/>
        <w:rPr>
          <w:rFonts w:ascii="楷体_GB2312" w:hAnsi="楷体_GB2312" w:eastAsia="楷体_GB2312" w:cs="楷体_GB2312"/>
          <w:bCs/>
          <w:color w:val="000000"/>
          <w:sz w:val="32"/>
          <w:szCs w:val="32"/>
        </w:rPr>
      </w:pPr>
      <w:bookmarkStart w:id="20" w:name="_Toc15378445"/>
      <w:bookmarkStart w:id="21" w:name="_Toc15377198"/>
      <w:r>
        <w:rPr>
          <w:rFonts w:hint="eastAsia" w:ascii="楷体_GB2312" w:hAnsi="楷体_GB2312" w:eastAsia="楷体_GB2312" w:cs="楷体_GB2312"/>
          <w:bCs/>
          <w:color w:val="000000"/>
          <w:sz w:val="32"/>
          <w:szCs w:val="32"/>
        </w:rPr>
        <w:t>主要职能。</w:t>
      </w:r>
      <w:bookmarkEnd w:id="20"/>
      <w:bookmarkEnd w:id="21"/>
    </w:p>
    <w:p>
      <w:pPr>
        <w:pStyle w:val="7"/>
        <w:adjustRightInd w:val="0"/>
        <w:snapToGrid w:val="0"/>
        <w:spacing w:beforeLines="0" w:line="560" w:lineRule="exact"/>
        <w:ind w:firstLine="672" w:firstLineChars="210"/>
        <w:rPr>
          <w:rFonts w:hAnsi="仿宋_GB2312" w:cs="仿宋_GB2312"/>
          <w:bCs/>
          <w:color w:val="000000"/>
          <w:sz w:val="32"/>
          <w:szCs w:val="32"/>
        </w:rPr>
      </w:pPr>
      <w:bookmarkStart w:id="22" w:name="_Toc15377199"/>
      <w:bookmarkStart w:id="23" w:name="_Toc15378446"/>
      <w:r>
        <w:rPr>
          <w:rFonts w:hint="eastAsia" w:hAnsi="仿宋_GB2312" w:cs="仿宋_GB2312"/>
          <w:bCs/>
          <w:color w:val="000000"/>
          <w:sz w:val="32"/>
          <w:szCs w:val="32"/>
        </w:rPr>
        <w:t>依法做好高新区土地储备工作，促进高新区的建设和发展，负责高新区内土地的收回、收购、置换、征用并进行前期开发、整理、储备等工作，并负责园区基础设施建设和维护。</w:t>
      </w:r>
    </w:p>
    <w:p>
      <w:pPr>
        <w:pStyle w:val="7"/>
        <w:adjustRightInd w:val="0"/>
        <w:snapToGrid w:val="0"/>
        <w:spacing w:beforeLines="0" w:line="560" w:lineRule="exact"/>
        <w:ind w:firstLine="672" w:firstLineChars="210"/>
        <w:rPr>
          <w:rFonts w:ascii="楷体_GB2312" w:hAnsi="楷体_GB2312" w:eastAsia="楷体_GB2312" w:cs="楷体_GB2312"/>
          <w:sz w:val="32"/>
          <w:szCs w:val="21"/>
          <w:shd w:val="clear" w:color="auto" w:fill="FFFFFF"/>
        </w:rPr>
      </w:pPr>
      <w:r>
        <w:rPr>
          <w:rFonts w:hint="eastAsia" w:ascii="楷体_GB2312" w:hAnsi="楷体_GB2312" w:eastAsia="楷体_GB2312" w:cs="楷体_GB2312"/>
          <w:bCs/>
          <w:color w:val="000000"/>
          <w:sz w:val="32"/>
          <w:szCs w:val="32"/>
        </w:rPr>
        <w:t>（二）2020年重点工作完成情况。</w:t>
      </w:r>
      <w:bookmarkEnd w:id="22"/>
      <w:bookmarkEnd w:id="23"/>
    </w:p>
    <w:p>
      <w:pPr>
        <w:spacing w:line="560" w:lineRule="exact"/>
        <w:ind w:firstLine="640" w:firstLineChars="200"/>
        <w:rPr>
          <w:rFonts w:ascii="仿宋_GB2312" w:eastAsia="仿宋_GB2312"/>
          <w:sz w:val="32"/>
          <w:szCs w:val="32"/>
        </w:rPr>
      </w:pPr>
      <w:r>
        <w:rPr>
          <w:rFonts w:hint="eastAsia" w:ascii="仿宋_GB2312" w:eastAsia="仿宋_GB2312"/>
          <w:sz w:val="32"/>
          <w:szCs w:val="32"/>
        </w:rPr>
        <w:t>1.制定印发乐山高新区2020年-2020度企业土地腾退工作计划。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2.完善土地腾退收储流程，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3.完成收储土地10宗338.37亩。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4.已开展收储评估工作的17宗。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5.正在开展收储对接22家企业工作。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6.支付企业土地收储款39662.93万元。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7.完成了新增报批2500亩土地入库工作；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8.已完成100亩土地占补平衡指标购买和500亩城乡建设用地增减挂钩周转指标流转的工作。</w:t>
      </w:r>
    </w:p>
    <w:p>
      <w:pPr>
        <w:pStyle w:val="7"/>
        <w:adjustRightInd w:val="0"/>
        <w:spacing w:beforeLines="0" w:line="560" w:lineRule="exact"/>
        <w:ind w:firstLine="640" w:firstLineChars="200"/>
        <w:rPr>
          <w:rFonts w:ascii="仿宋" w:hAnsi="仿宋" w:eastAsia="仿宋"/>
          <w:bCs/>
          <w:color w:val="00B0F0"/>
          <w:sz w:val="32"/>
          <w:szCs w:val="32"/>
        </w:rPr>
      </w:pPr>
      <w:r>
        <w:rPr>
          <w:rFonts w:hint="eastAsia"/>
          <w:sz w:val="32"/>
          <w:szCs w:val="32"/>
        </w:rPr>
        <w:t>9.已完成乐山市2020年第1批城市建设用地400亩组卷上报工作，并报省自然资源厅审查，收储入库51.56亩</w:t>
      </w:r>
      <w:r>
        <w:rPr>
          <w:rFonts w:hint="eastAsia" w:hAnsi="仿宋"/>
          <w:bCs/>
          <w:sz w:val="32"/>
          <w:szCs w:val="32"/>
        </w:rPr>
        <w:t>。</w:t>
      </w:r>
    </w:p>
    <w:p>
      <w:pPr>
        <w:pStyle w:val="4"/>
        <w:spacing w:before="0" w:after="0" w:line="560" w:lineRule="exact"/>
        <w:rPr>
          <w:rStyle w:val="30"/>
          <w:b w:val="0"/>
          <w:bCs w:val="0"/>
        </w:rPr>
      </w:pPr>
      <w:bookmarkStart w:id="24" w:name="_Toc15377200"/>
      <w:bookmarkStart w:id="25" w:name="_Toc5492"/>
      <w:bookmarkStart w:id="26" w:name="_Toc15396601"/>
      <w:r>
        <w:rPr>
          <w:rFonts w:hint="eastAsia" w:ascii="黑体" w:eastAsia="黑体"/>
          <w:b w:val="0"/>
          <w:color w:val="000000"/>
        </w:rPr>
        <w:t>二、</w:t>
      </w:r>
      <w:r>
        <w:rPr>
          <w:rFonts w:hint="eastAsia" w:ascii="黑体" w:hAnsi="黑体" w:eastAsia="黑体"/>
          <w:b w:val="0"/>
          <w:color w:val="000000"/>
        </w:rPr>
        <w:t>机</w:t>
      </w:r>
      <w:r>
        <w:rPr>
          <w:rStyle w:val="30"/>
          <w:rFonts w:hint="eastAsia" w:ascii="黑体" w:hAnsi="黑体" w:eastAsia="黑体"/>
          <w:b w:val="0"/>
          <w:bCs w:val="0"/>
        </w:rPr>
        <w:t>构设置</w:t>
      </w:r>
      <w:bookmarkEnd w:id="24"/>
      <w:bookmarkEnd w:id="25"/>
      <w:bookmarkEnd w:id="26"/>
    </w:p>
    <w:p>
      <w:pPr>
        <w:spacing w:line="560" w:lineRule="exact"/>
        <w:ind w:firstLine="800" w:firstLineChars="250"/>
        <w:rPr>
          <w:rFonts w:ascii="仿宋" w:hAnsi="仿宋" w:eastAsia="仿宋"/>
          <w:color w:val="000000"/>
          <w:kern w:val="0"/>
          <w:sz w:val="32"/>
          <w:szCs w:val="32"/>
        </w:rPr>
      </w:pPr>
      <w:r>
        <w:rPr>
          <w:rFonts w:hint="eastAsia" w:ascii="仿宋_GB2312" w:hAnsi="仿宋_GB2312" w:eastAsia="仿宋_GB2312" w:cs="仿宋_GB2312"/>
          <w:sz w:val="32"/>
          <w:szCs w:val="32"/>
        </w:rPr>
        <w:t>四川省乐山市高新技术产业开发区土地储备中心下属二级单位0个，其中行政单位0个，参照公务员法管理的事业单位0个，其他事业单位0个。年末实有人数7人，其中：事业人员7人。</w:t>
      </w:r>
      <w:r>
        <w:rPr>
          <w:rFonts w:ascii="仿宋" w:hAnsi="仿宋" w:eastAsia="仿宋"/>
          <w:color w:val="000000"/>
          <w:sz w:val="32"/>
          <w:szCs w:val="32"/>
        </w:rPr>
        <w:br w:type="page"/>
      </w:r>
    </w:p>
    <w:p>
      <w:pPr>
        <w:pStyle w:val="3"/>
        <w:spacing w:before="0" w:after="0" w:line="560" w:lineRule="exact"/>
        <w:ind w:right="442"/>
        <w:jc w:val="right"/>
      </w:pPr>
      <w:bookmarkStart w:id="27" w:name="_Toc15377204"/>
      <w:bookmarkStart w:id="28" w:name="_Toc15396602"/>
      <w:bookmarkStart w:id="29" w:name="_Toc20237"/>
      <w:r>
        <w:rPr>
          <w:rFonts w:hint="eastAsia" w:ascii="方正小标宋简体" w:hAnsi="方正小标宋简体" w:eastAsia="方正小标宋简体" w:cs="方正小标宋简体"/>
          <w:b w:val="0"/>
          <w:color w:val="000000"/>
        </w:rPr>
        <w:t>第二部分</w:t>
      </w:r>
      <w:r>
        <w:rPr>
          <w:rStyle w:val="29"/>
          <w:rFonts w:hint="eastAsia" w:ascii="方正小标宋简体" w:hAnsi="方正小标宋简体" w:eastAsia="方正小标宋简体" w:cs="方正小标宋简体"/>
          <w:b w:val="0"/>
          <w:bCs w:val="0"/>
        </w:rPr>
        <w:t>2020年度部门决算情况说明</w:t>
      </w:r>
      <w:bookmarkEnd w:id="27"/>
      <w:bookmarkEnd w:id="28"/>
      <w:bookmarkEnd w:id="29"/>
    </w:p>
    <w:p>
      <w:pPr>
        <w:pStyle w:val="28"/>
        <w:numPr>
          <w:ilvl w:val="0"/>
          <w:numId w:val="6"/>
        </w:numPr>
        <w:spacing w:line="560" w:lineRule="exact"/>
        <w:ind w:firstLineChars="0"/>
        <w:outlineLvl w:val="1"/>
        <w:rPr>
          <w:rStyle w:val="30"/>
          <w:rFonts w:ascii="黑体" w:hAnsi="黑体" w:eastAsia="黑体"/>
          <w:b w:val="0"/>
        </w:rPr>
      </w:pPr>
      <w:bookmarkStart w:id="30" w:name="_Toc18406"/>
      <w:bookmarkStart w:id="31" w:name="_Toc15396603"/>
      <w:bookmarkStart w:id="32" w:name="_Toc15377205"/>
      <w:r>
        <w:rPr>
          <w:rFonts w:hint="eastAsia" w:ascii="黑体" w:hAnsi="黑体" w:eastAsia="黑体"/>
          <w:color w:val="000000"/>
          <w:sz w:val="32"/>
          <w:szCs w:val="32"/>
        </w:rPr>
        <w:t>收</w:t>
      </w:r>
      <w:r>
        <w:rPr>
          <w:rStyle w:val="30"/>
          <w:rFonts w:hint="eastAsia" w:ascii="黑体" w:hAnsi="黑体" w:eastAsia="黑体"/>
          <w:b w:val="0"/>
        </w:rPr>
        <w:t>入支出决算总体情况说明</w:t>
      </w:r>
      <w:bookmarkEnd w:id="30"/>
      <w:bookmarkEnd w:id="31"/>
      <w:bookmarkEnd w:id="32"/>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2020年度收入总计68,913.59万元、支出总计73,872.38万元。与2019年相比，收入总计增加33,185.93万元，增长92.89%，支出总计增加43,103.50万元，增长140.09%。主要变动原</w:t>
      </w:r>
      <w:r>
        <w:rPr>
          <w:rFonts w:hint="eastAsia" w:ascii="仿宋_GB2312" w:hAnsi="仿宋_GB2312" w:eastAsia="仿宋_GB2312" w:cs="仿宋_GB2312"/>
          <w:sz w:val="32"/>
          <w:szCs w:val="32"/>
        </w:rPr>
        <w:t>因是2020年我单位征地、拆迁安置、园区基础设施建设项目增加</w:t>
      </w:r>
      <w:r>
        <w:rPr>
          <w:rFonts w:hint="eastAsia" w:ascii="仿宋_GB2312" w:hAnsi="仿宋_GB2312" w:eastAsia="仿宋_GB2312" w:cs="仿宋_GB2312"/>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282575</wp:posOffset>
            </wp:positionV>
            <wp:extent cx="4429760" cy="3778885"/>
            <wp:effectExtent l="4445" t="4445" r="23495" b="838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_GB2312" w:hAnsi="仿宋_GB2312" w:eastAsia="仿宋_GB2312" w:cs="仿宋_GB2312"/>
          <w:color w:val="000000" w:themeColor="text1"/>
          <w:sz w:val="32"/>
          <w:szCs w:val="32"/>
        </w:rPr>
        <w:t>（图1：收、支决算总计变动情况图）（柱状图）</w:t>
      </w:r>
    </w:p>
    <w:p>
      <w:pPr>
        <w:spacing w:line="600" w:lineRule="exact"/>
        <w:ind w:firstLine="640" w:firstLineChars="200"/>
        <w:jc w:val="left"/>
        <w:rPr>
          <w:rFonts w:ascii="仿宋_GB2312" w:eastAsia="仿宋_GB2312"/>
          <w:color w:val="000000"/>
          <w:sz w:val="32"/>
          <w:szCs w:val="32"/>
        </w:rPr>
      </w:pPr>
    </w:p>
    <w:p>
      <w:pPr>
        <w:pStyle w:val="28"/>
        <w:numPr>
          <w:ilvl w:val="0"/>
          <w:numId w:val="6"/>
        </w:numPr>
        <w:spacing w:line="600" w:lineRule="exact"/>
        <w:ind w:left="1361" w:firstLineChars="0"/>
        <w:outlineLvl w:val="1"/>
        <w:rPr>
          <w:rStyle w:val="30"/>
          <w:rFonts w:ascii="黑体" w:hAnsi="黑体" w:eastAsia="黑体"/>
          <w:b w:val="0"/>
        </w:rPr>
      </w:pPr>
      <w:bookmarkStart w:id="33" w:name="_Toc15396604"/>
      <w:bookmarkStart w:id="34" w:name="_Toc17821"/>
      <w:bookmarkStart w:id="35" w:name="_Toc15377206"/>
      <w:r>
        <w:rPr>
          <w:rFonts w:hint="eastAsia" w:ascii="黑体" w:hAnsi="黑体" w:eastAsia="黑体"/>
          <w:color w:val="000000"/>
          <w:sz w:val="32"/>
          <w:szCs w:val="32"/>
        </w:rPr>
        <w:t>收</w:t>
      </w:r>
      <w:r>
        <w:rPr>
          <w:rStyle w:val="30"/>
          <w:rFonts w:hint="eastAsia" w:ascii="黑体" w:hAnsi="黑体" w:eastAsia="黑体"/>
          <w:b w:val="0"/>
        </w:rPr>
        <w:t>入决算情况说明</w:t>
      </w:r>
      <w:bookmarkEnd w:id="33"/>
      <w:bookmarkEnd w:id="34"/>
      <w:bookmarkEnd w:id="35"/>
    </w:p>
    <w:p>
      <w:pPr>
        <w:spacing w:line="560" w:lineRule="exact"/>
        <w:ind w:firstLine="640" w:firstLineChars="200"/>
        <w:rPr>
          <w:rFonts w:ascii="仿宋_GB2312" w:hAnsi="仿宋_GB2312" w:eastAsia="仿宋_GB2312" w:cs="仿宋_GB2312"/>
          <w:color w:val="000000"/>
          <w:sz w:val="32"/>
          <w:szCs w:val="32"/>
        </w:rPr>
      </w:pPr>
      <w:bookmarkStart w:id="36" w:name="_Toc19018"/>
      <w:r>
        <w:rPr>
          <w:rFonts w:hint="eastAsia" w:ascii="仿宋_GB2312" w:hAnsi="仿宋_GB2312" w:eastAsia="仿宋_GB2312" w:cs="仿宋_GB2312"/>
          <w:color w:val="000000"/>
          <w:sz w:val="32"/>
          <w:szCs w:val="32"/>
        </w:rPr>
        <w:t>2020年本年收入合计68,913.59万元，其中：一般公共预算财政拨款收入52.12万元，占0.08%；政府性基金预算财政拨款收入68,861.47万元，占99.92%；</w:t>
      </w:r>
      <w:r>
        <w:rPr>
          <w:rFonts w:hint="eastAsia" w:ascii="仿宋_GB2312" w:hAnsi="仿宋_GB2312" w:eastAsia="仿宋_GB2312" w:cs="仿宋_GB2312"/>
          <w:color w:val="000000" w:themeColor="text1"/>
          <w:sz w:val="32"/>
          <w:szCs w:val="32"/>
        </w:rPr>
        <w:t>上级补助收入0</w:t>
      </w:r>
      <w:r>
        <w:rPr>
          <w:rFonts w:hint="eastAsia" w:ascii="仿宋_GB2312" w:hAnsi="仿宋_GB2312" w:eastAsia="仿宋_GB2312" w:cs="仿宋_GB2312"/>
          <w:color w:val="000000"/>
          <w:sz w:val="32"/>
          <w:szCs w:val="32"/>
        </w:rPr>
        <w:t>万元，占0%；事业收入0万元，占0%；经营收入0万元，占0%；附属单位上缴收入0万元，占0%；其他收入0万元，占0%。</w:t>
      </w:r>
      <w:bookmarkEnd w:id="3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242570</wp:posOffset>
            </wp:positionV>
            <wp:extent cx="4088130" cy="3068955"/>
            <wp:effectExtent l="5080" t="4445" r="21590"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8"/>
        <w:numPr>
          <w:ilvl w:val="0"/>
          <w:numId w:val="6"/>
        </w:numPr>
        <w:spacing w:line="600" w:lineRule="exact"/>
        <w:ind w:left="1361" w:firstLineChars="0"/>
        <w:outlineLvl w:val="1"/>
        <w:rPr>
          <w:rStyle w:val="30"/>
          <w:rFonts w:ascii="黑体" w:hAnsi="黑体" w:eastAsia="黑体"/>
          <w:b w:val="0"/>
        </w:rPr>
      </w:pPr>
      <w:bookmarkStart w:id="37" w:name="_Toc18465"/>
      <w:bookmarkStart w:id="38" w:name="_Toc15377207"/>
      <w:bookmarkStart w:id="39" w:name="_Toc15396605"/>
      <w:r>
        <w:rPr>
          <w:rFonts w:hint="eastAsia" w:ascii="黑体" w:hAnsi="黑体" w:eastAsia="黑体"/>
          <w:color w:val="000000"/>
          <w:sz w:val="32"/>
          <w:szCs w:val="32"/>
        </w:rPr>
        <w:t>支</w:t>
      </w:r>
      <w:r>
        <w:rPr>
          <w:rStyle w:val="30"/>
          <w:rFonts w:hint="eastAsia" w:ascii="黑体" w:hAnsi="黑体" w:eastAsia="黑体"/>
          <w:b w:val="0"/>
        </w:rPr>
        <w:t>出决算情况说明</w:t>
      </w:r>
      <w:bookmarkEnd w:id="37"/>
      <w:bookmarkEnd w:id="38"/>
      <w:bookmarkEnd w:id="39"/>
    </w:p>
    <w:p>
      <w:pPr>
        <w:spacing w:line="600" w:lineRule="exact"/>
        <w:ind w:firstLine="640" w:firstLineChars="200"/>
        <w:rPr>
          <w:rFonts w:ascii="仿宋_GB2312" w:hAnsi="仿宋_GB2312" w:eastAsia="仿宋_GB2312" w:cs="仿宋_GB2312"/>
          <w:color w:val="000000"/>
          <w:sz w:val="32"/>
          <w:szCs w:val="32"/>
        </w:rPr>
      </w:pPr>
      <w:bookmarkStart w:id="40" w:name="_Toc19921"/>
      <w:r>
        <w:rPr>
          <w:rFonts w:hint="eastAsia" w:ascii="仿宋_GB2312" w:hAnsi="仿宋_GB2312" w:eastAsia="仿宋_GB2312" w:cs="仿宋_GB2312"/>
          <w:color w:val="000000"/>
          <w:sz w:val="32"/>
          <w:szCs w:val="32"/>
        </w:rPr>
        <w:t>2020年本年支出合计73,872.38万元，其中：基本支出52.12万元，占0.07%；项目支出73,820.26万元，占99.93%；上缴上级支出0万元，占0%；经营支出0万元，占0%；对附属单位补助支出0万元，占0%。</w:t>
      </w:r>
      <w:bookmarkEnd w:id="40"/>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607060</wp:posOffset>
            </wp:positionH>
            <wp:positionV relativeFrom="paragraph">
              <wp:posOffset>87630</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themeColor="text1"/>
          <w:sz w:val="32"/>
          <w:szCs w:val="32"/>
        </w:rPr>
      </w:pP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（图3：支出决算结构图）（饼状图）</w:t>
      </w:r>
    </w:p>
    <w:p>
      <w:pPr>
        <w:spacing w:line="560" w:lineRule="exact"/>
        <w:ind w:firstLine="640" w:firstLineChars="200"/>
        <w:rPr>
          <w:rFonts w:ascii="仿宋_GB2312" w:eastAsia="仿宋_GB2312"/>
          <w:color w:val="FF0000"/>
          <w:sz w:val="32"/>
          <w:szCs w:val="32"/>
        </w:rPr>
      </w:pPr>
    </w:p>
    <w:p>
      <w:pPr>
        <w:spacing w:line="560" w:lineRule="exact"/>
        <w:ind w:firstLine="640" w:firstLineChars="200"/>
        <w:outlineLvl w:val="1"/>
        <w:rPr>
          <w:rStyle w:val="30"/>
          <w:rFonts w:ascii="黑体" w:hAnsi="黑体" w:eastAsia="黑体"/>
          <w:b w:val="0"/>
        </w:rPr>
      </w:pPr>
      <w:bookmarkStart w:id="41" w:name="_Toc28747"/>
      <w:bookmarkStart w:id="42" w:name="_Toc15396606"/>
      <w:bookmarkStart w:id="43" w:name="_Toc15377208"/>
      <w:r>
        <w:rPr>
          <w:rFonts w:hint="eastAsia" w:ascii="黑体" w:hAnsi="黑体" w:eastAsia="黑体"/>
          <w:color w:val="000000"/>
          <w:sz w:val="32"/>
          <w:szCs w:val="32"/>
        </w:rPr>
        <w:t>四、财</w:t>
      </w:r>
      <w:r>
        <w:rPr>
          <w:rStyle w:val="30"/>
          <w:rFonts w:hint="eastAsia" w:ascii="黑体" w:hAnsi="黑体" w:eastAsia="黑体"/>
          <w:b w:val="0"/>
        </w:rPr>
        <w:t>政拨款收入支出决算总体情况说明</w:t>
      </w:r>
      <w:bookmarkEnd w:id="41"/>
      <w:bookmarkEnd w:id="42"/>
      <w:bookmarkEnd w:id="4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2020年财政拨款收入总计68,913.59万元、支出总计73,872.38万元。与2019年相比，收入总计增加33,185.93万元，增长92.89%，支出总计增加43,103.50万元，增长140.09%。主要变动原</w:t>
      </w:r>
      <w:r>
        <w:rPr>
          <w:rFonts w:hint="eastAsia" w:ascii="仿宋_GB2312" w:hAnsi="仿宋_GB2312" w:eastAsia="仿宋_GB2312" w:cs="仿宋_GB2312"/>
          <w:sz w:val="32"/>
          <w:szCs w:val="32"/>
        </w:rPr>
        <w:t>因是2020年我单位征地、拆迁安置、园区基础设施建设项目增加</w:t>
      </w:r>
      <w:r>
        <w:rPr>
          <w:rFonts w:hint="eastAsia" w:ascii="仿宋_GB2312" w:hAnsi="仿宋_GB2312" w:eastAsia="仿宋_GB2312" w:cs="仿宋_GB2312"/>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467995</wp:posOffset>
            </wp:positionH>
            <wp:positionV relativeFrom="paragraph">
              <wp:posOffset>167005</wp:posOffset>
            </wp:positionV>
            <wp:extent cx="4269105" cy="2459355"/>
            <wp:effectExtent l="4445" t="5080" r="12700" b="5016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pStyle w:val="2"/>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 w:hAnsi="仿宋" w:eastAsia="仿宋"/>
          <w:color w:val="000000" w:themeColor="text1"/>
          <w:sz w:val="32"/>
          <w:szCs w:val="32"/>
        </w:rPr>
      </w:pPr>
      <w:r>
        <w:rPr>
          <w:rFonts w:hint="eastAsia" w:ascii="仿宋_GB2312" w:hAnsi="仿宋_GB2312" w:eastAsia="仿宋_GB2312" w:cs="仿宋_GB2312"/>
          <w:color w:val="000000" w:themeColor="text1"/>
          <w:sz w:val="32"/>
          <w:szCs w:val="32"/>
        </w:rPr>
        <w:t>（图4：财政拨款收、支决算总计变动情况）（柱状图）</w:t>
      </w:r>
    </w:p>
    <w:p>
      <w:pPr>
        <w:spacing w:line="580" w:lineRule="exact"/>
        <w:ind w:firstLine="640"/>
        <w:rPr>
          <w:rFonts w:ascii="仿宋" w:hAnsi="仿宋" w:eastAsia="仿宋"/>
          <w:b/>
          <w:color w:val="00B050"/>
          <w:sz w:val="32"/>
          <w:szCs w:val="32"/>
        </w:rPr>
      </w:pPr>
    </w:p>
    <w:p>
      <w:pPr>
        <w:spacing w:line="580" w:lineRule="exact"/>
        <w:ind w:firstLine="640" w:firstLineChars="200"/>
        <w:outlineLvl w:val="1"/>
        <w:rPr>
          <w:rStyle w:val="30"/>
          <w:rFonts w:ascii="黑体" w:hAnsi="黑体" w:eastAsia="黑体"/>
          <w:b w:val="0"/>
        </w:rPr>
      </w:pPr>
      <w:bookmarkStart w:id="44" w:name="_Toc15396607"/>
      <w:bookmarkStart w:id="45" w:name="_Toc15377209"/>
      <w:bookmarkStart w:id="46" w:name="_Toc1654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0"/>
          <w:rFonts w:hint="eastAsia" w:ascii="黑体" w:hAnsi="黑体" w:eastAsia="黑体"/>
          <w:b w:val="0"/>
        </w:rPr>
        <w:t>般公共预算财政拨款支出决算情况说明</w:t>
      </w:r>
      <w:bookmarkEnd w:id="44"/>
      <w:bookmarkEnd w:id="45"/>
      <w:bookmarkEnd w:id="46"/>
    </w:p>
    <w:p>
      <w:pPr>
        <w:spacing w:line="580" w:lineRule="exact"/>
        <w:ind w:firstLine="643" w:firstLineChars="200"/>
        <w:rPr>
          <w:rFonts w:ascii="楷体_GB2312" w:hAnsi="楷体_GB2312" w:eastAsia="楷体_GB2312" w:cs="楷体_GB2312"/>
          <w:b/>
          <w:color w:val="000000"/>
          <w:sz w:val="32"/>
          <w:szCs w:val="32"/>
        </w:rPr>
      </w:pPr>
      <w:bookmarkStart w:id="47" w:name="_Toc15377210"/>
      <w:r>
        <w:rPr>
          <w:rFonts w:hint="eastAsia" w:ascii="楷体_GB2312" w:hAnsi="楷体_GB2312" w:eastAsia="楷体_GB2312" w:cs="楷体_GB2312"/>
          <w:b/>
          <w:color w:val="000000"/>
          <w:sz w:val="32"/>
          <w:szCs w:val="32"/>
        </w:rPr>
        <w:t>（一）一般公共预算财政拨款支出决算总体情况</w:t>
      </w:r>
      <w:bookmarkEnd w:id="47"/>
    </w:p>
    <w:p>
      <w:pPr>
        <w:spacing w:line="580" w:lineRule="exact"/>
        <w:ind w:firstLine="64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2020年一般公共预算财政拨款支出5,010.90万元，占本年支出合计的6.78%。与</w:t>
      </w:r>
      <w:r>
        <w:rPr>
          <w:rFonts w:hint="eastAsia" w:ascii="仿宋_GB2312" w:hAnsi="仿宋_GB2312" w:eastAsia="仿宋_GB2312" w:cs="仿宋_GB2312"/>
          <w:sz w:val="32"/>
          <w:szCs w:val="32"/>
        </w:rPr>
        <w:t>2019年相比，一般公共预算财政拨款减少479.48万元，减少8.74%。主</w:t>
      </w:r>
      <w:r>
        <w:rPr>
          <w:rFonts w:hint="eastAsia" w:ascii="仿宋_GB2312" w:hAnsi="仿宋_GB2312" w:eastAsia="仿宋_GB2312" w:cs="仿宋_GB2312"/>
          <w:color w:val="000000"/>
          <w:sz w:val="32"/>
          <w:szCs w:val="32"/>
        </w:rPr>
        <w:t>要变动原因是一般债券付息支出减少。</w:t>
      </w:r>
    </w:p>
    <w:p>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364490</wp:posOffset>
            </wp:positionH>
            <wp:positionV relativeFrom="paragraph">
              <wp:posOffset>108585</wp:posOffset>
            </wp:positionV>
            <wp:extent cx="3957320" cy="2945130"/>
            <wp:effectExtent l="4445" t="5080" r="19685" b="5969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（图5：一般公共预算财政拨款支出决算变动情况）（柱状图）</w:t>
      </w:r>
    </w:p>
    <w:p>
      <w:pPr>
        <w:spacing w:line="560" w:lineRule="exact"/>
        <w:ind w:firstLine="640" w:firstLineChars="200"/>
        <w:rPr>
          <w:rFonts w:ascii="仿宋" w:hAnsi="仿宋" w:eastAsia="仿宋"/>
          <w:color w:val="000000" w:themeColor="text1"/>
          <w:sz w:val="32"/>
          <w:szCs w:val="32"/>
        </w:rPr>
      </w:pPr>
    </w:p>
    <w:p>
      <w:pPr>
        <w:spacing w:line="560" w:lineRule="exact"/>
        <w:ind w:firstLine="643" w:firstLineChars="200"/>
        <w:rPr>
          <w:rFonts w:ascii="仿宋" w:hAnsi="仿宋" w:eastAsia="仿宋"/>
          <w:b/>
          <w:color w:val="000000"/>
          <w:sz w:val="32"/>
          <w:szCs w:val="32"/>
        </w:rPr>
      </w:pPr>
      <w:bookmarkStart w:id="48" w:name="_Toc15377211"/>
      <w:r>
        <w:rPr>
          <w:rFonts w:hint="eastAsia" w:ascii="楷体_GB2312" w:hAnsi="楷体_GB2312" w:eastAsia="楷体_GB2312" w:cs="楷体_GB2312"/>
          <w:b/>
          <w:color w:val="000000"/>
          <w:sz w:val="32"/>
          <w:szCs w:val="32"/>
        </w:rPr>
        <w:t>（二）一般公共预算财政拨款支出决算结构情况</w:t>
      </w:r>
      <w:bookmarkEnd w:id="48"/>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rPr>
        <w:t>政拨款支出</w:t>
      </w:r>
      <w:r>
        <w:rPr>
          <w:rFonts w:hint="eastAsia" w:ascii="仿宋_GB2312" w:hAnsi="仿宋_GB2312" w:eastAsia="仿宋_GB2312" w:cs="仿宋_GB2312"/>
          <w:color w:val="000000"/>
          <w:sz w:val="32"/>
          <w:szCs w:val="32"/>
        </w:rPr>
        <w:t>5,010.90</w:t>
      </w:r>
      <w:r>
        <w:rPr>
          <w:rFonts w:hint="eastAsia" w:ascii="仿宋_GB2312" w:hAnsi="仿宋_GB2312" w:eastAsia="仿宋_GB2312" w:cs="仿宋_GB2312"/>
          <w:color w:val="000000" w:themeColor="text1"/>
          <w:sz w:val="32"/>
          <w:szCs w:val="32"/>
        </w:rPr>
        <w:t>万元，主要用于以下方面:</w:t>
      </w:r>
      <w:r>
        <w:rPr>
          <w:rFonts w:hint="eastAsia" w:ascii="仿宋_GB2312" w:hAnsi="仿宋_GB2312" w:eastAsia="仿宋_GB2312" w:cs="仿宋_GB2312"/>
          <w:b/>
          <w:color w:val="000000" w:themeColor="text1"/>
          <w:sz w:val="32"/>
          <w:szCs w:val="32"/>
        </w:rPr>
        <w:t>社会保障和就业支出（208）</w:t>
      </w:r>
      <w:r>
        <w:rPr>
          <w:rFonts w:hint="eastAsia" w:ascii="仿宋_GB2312" w:hAnsi="仿宋_GB2312" w:eastAsia="仿宋_GB2312" w:cs="仿宋_GB2312"/>
          <w:color w:val="000000" w:themeColor="text1"/>
          <w:sz w:val="32"/>
          <w:szCs w:val="32"/>
        </w:rPr>
        <w:t>支出4,958.78万元，占98.96%；</w:t>
      </w:r>
      <w:r>
        <w:rPr>
          <w:rFonts w:hint="eastAsia" w:ascii="仿宋_GB2312" w:hAnsi="仿宋_GB2312" w:eastAsia="仿宋_GB2312" w:cs="仿宋_GB2312"/>
          <w:b/>
          <w:bCs/>
          <w:color w:val="000000" w:themeColor="text1"/>
          <w:sz w:val="32"/>
          <w:szCs w:val="32"/>
        </w:rPr>
        <w:t>自然资源及海洋气象等支出（220）</w:t>
      </w:r>
      <w:r>
        <w:rPr>
          <w:rFonts w:hint="eastAsia" w:ascii="仿宋_GB2312" w:hAnsi="仿宋_GB2312" w:eastAsia="仿宋_GB2312" w:cs="仿宋_GB2312"/>
          <w:color w:val="000000" w:themeColor="text1"/>
          <w:sz w:val="32"/>
          <w:szCs w:val="32"/>
        </w:rPr>
        <w:t>52.12万元，占1.04%。</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466090</wp:posOffset>
            </wp:positionH>
            <wp:positionV relativeFrom="paragraph">
              <wp:posOffset>204470</wp:posOffset>
            </wp:positionV>
            <wp:extent cx="4114165" cy="3216275"/>
            <wp:effectExtent l="4445" t="5080" r="1524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rPr>
          <w:rFonts w:ascii="仿宋" w:hAnsi="仿宋" w:eastAsia="仿宋"/>
          <w:color w:val="000000"/>
          <w:sz w:val="32"/>
          <w:szCs w:val="32"/>
        </w:rPr>
      </w:pPr>
    </w:p>
    <w:p>
      <w:pPr>
        <w:spacing w:line="560" w:lineRule="exact"/>
        <w:ind w:firstLine="320" w:firstLineChars="1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560" w:lineRule="exact"/>
        <w:ind w:firstLine="640" w:firstLineChars="200"/>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bookmarkStart w:id="49" w:name="_Toc15377212"/>
      <w:r>
        <w:rPr>
          <w:rFonts w:hint="eastAsia" w:ascii="楷体_GB2312" w:hAnsi="楷体_GB2312" w:eastAsia="楷体_GB2312" w:cs="楷体_GB2312"/>
          <w:b/>
          <w:color w:val="000000"/>
          <w:sz w:val="32"/>
          <w:szCs w:val="32"/>
        </w:rPr>
        <w:t>（三）一般公共预算财政拨款支出决算具体情况</w:t>
      </w:r>
      <w:bookmarkEnd w:id="49"/>
    </w:p>
    <w:p>
      <w:pPr>
        <w:spacing w:line="560" w:lineRule="exact"/>
        <w:ind w:firstLine="643" w:firstLineChars="200"/>
        <w:rPr>
          <w:rFonts w:ascii="仿宋_GB2312" w:hAnsi="仿宋_GB2312" w:eastAsia="仿宋_GB2312" w:cs="仿宋_GB2312"/>
          <w:sz w:val="32"/>
          <w:szCs w:val="32"/>
        </w:rPr>
      </w:pPr>
      <w:bookmarkStart w:id="50" w:name="_Toc15377444"/>
      <w:bookmarkStart w:id="51" w:name="_Toc15377213"/>
      <w:bookmarkStart w:id="52" w:name="_Toc15378460"/>
      <w:r>
        <w:rPr>
          <w:rFonts w:hint="eastAsia" w:ascii="仿宋_GB2312" w:hAnsi="仿宋_GB2312" w:eastAsia="仿宋_GB2312" w:cs="仿宋_GB2312"/>
          <w:b/>
          <w:color w:val="000000" w:themeColor="text1"/>
          <w:sz w:val="32"/>
          <w:szCs w:val="32"/>
        </w:rPr>
        <w:t>2020年一般公共预算支出决算数为</w:t>
      </w:r>
      <w:r>
        <w:rPr>
          <w:rFonts w:hint="eastAsia" w:ascii="仿宋_GB2312" w:hAnsi="仿宋_GB2312" w:eastAsia="仿宋_GB2312" w:cs="仿宋_GB2312"/>
          <w:color w:val="000000"/>
          <w:sz w:val="32"/>
          <w:szCs w:val="32"/>
        </w:rPr>
        <w:t>5,010.90</w:t>
      </w:r>
      <w:r>
        <w:rPr>
          <w:rFonts w:hint="eastAsia" w:ascii="仿宋_GB2312" w:hAnsi="仿宋_GB2312" w:eastAsia="仿宋_GB2312" w:cs="仿宋_GB2312"/>
          <w:color w:val="000000" w:themeColor="text1"/>
          <w:sz w:val="32"/>
          <w:szCs w:val="32"/>
        </w:rPr>
        <w:t>，</w:t>
      </w:r>
      <w:r>
        <w:rPr>
          <w:rStyle w:val="17"/>
          <w:rFonts w:hint="eastAsia" w:ascii="仿宋_GB2312" w:hAnsi="仿宋_GB2312" w:eastAsia="仿宋_GB2312" w:cs="仿宋_GB2312"/>
          <w:bCs/>
          <w:color w:val="000000" w:themeColor="text1"/>
          <w:sz w:val="32"/>
          <w:szCs w:val="32"/>
        </w:rPr>
        <w:t>完成</w:t>
      </w:r>
      <w:r>
        <w:rPr>
          <w:rStyle w:val="17"/>
          <w:rFonts w:hint="eastAsia" w:ascii="仿宋_GB2312" w:hAnsi="仿宋_GB2312" w:eastAsia="仿宋_GB2312" w:cs="仿宋_GB2312"/>
          <w:bCs/>
          <w:color w:val="000000"/>
          <w:sz w:val="32"/>
          <w:szCs w:val="32"/>
        </w:rPr>
        <w:t>预算100%。其中：</w:t>
      </w:r>
      <w:bookmarkEnd w:id="50"/>
      <w:bookmarkEnd w:id="51"/>
      <w:bookmarkEnd w:id="52"/>
    </w:p>
    <w:p>
      <w:pPr>
        <w:spacing w:line="560" w:lineRule="exact"/>
        <w:ind w:firstLine="643" w:firstLineChars="200"/>
        <w:rPr>
          <w:rFonts w:ascii="仿宋_GB2312" w:hAnsi="仿宋_GB2312" w:eastAsia="仿宋_GB2312" w:cs="仿宋_GB2312"/>
          <w:b/>
          <w:color w:val="000000"/>
          <w:sz w:val="32"/>
          <w:szCs w:val="32"/>
        </w:rPr>
      </w:pPr>
      <w:bookmarkStart w:id="53" w:name="_Toc15377214"/>
      <w:bookmarkStart w:id="54" w:name="_Toc15396608"/>
      <w:r>
        <w:rPr>
          <w:rStyle w:val="17"/>
          <w:rFonts w:hint="eastAsia" w:ascii="仿宋_GB2312" w:hAnsi="仿宋_GB2312" w:eastAsia="仿宋_GB2312" w:cs="仿宋_GB2312"/>
          <w:bCs/>
          <w:color w:val="000000"/>
          <w:sz w:val="32"/>
          <w:szCs w:val="32"/>
        </w:rPr>
        <w:t>1.</w:t>
      </w:r>
      <w:r>
        <w:rPr>
          <w:rFonts w:hint="eastAsia" w:ascii="仿宋_GB2312" w:hAnsi="仿宋_GB2312" w:eastAsia="仿宋_GB2312" w:cs="仿宋_GB2312"/>
          <w:b/>
          <w:color w:val="000000" w:themeColor="text1"/>
          <w:sz w:val="32"/>
          <w:szCs w:val="32"/>
        </w:rPr>
        <w:t>社会保障和就业支出（208）其他社会保障和就业支出（99）其他社会保障和就业支出（01）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4,958.78</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p>
    <w:p>
      <w:pPr>
        <w:spacing w:line="560" w:lineRule="exact"/>
        <w:ind w:firstLine="643" w:firstLineChars="200"/>
        <w:rPr>
          <w:rFonts w:ascii="仿宋_GB2312" w:hAnsi="仿宋_GB2312" w:eastAsia="仿宋_GB2312" w:cs="仿宋_GB2312"/>
          <w:color w:val="000000"/>
          <w:sz w:val="32"/>
          <w:szCs w:val="32"/>
          <w:highlight w:val="yellow"/>
        </w:rPr>
      </w:pPr>
      <w:r>
        <w:rPr>
          <w:rStyle w:val="17"/>
          <w:rFonts w:hint="eastAsia" w:ascii="仿宋_GB2312" w:hAnsi="仿宋_GB2312" w:eastAsia="仿宋_GB2312" w:cs="仿宋_GB2312"/>
          <w:bCs/>
          <w:color w:val="000000"/>
          <w:sz w:val="32"/>
          <w:szCs w:val="32"/>
        </w:rPr>
        <w:t>2.</w:t>
      </w:r>
      <w:r>
        <w:rPr>
          <w:rFonts w:hint="eastAsia" w:ascii="仿宋_GB2312" w:hAnsi="仿宋_GB2312" w:eastAsia="仿宋_GB2312" w:cs="仿宋_GB2312"/>
          <w:b/>
          <w:bCs/>
          <w:color w:val="000000" w:themeColor="text1"/>
          <w:sz w:val="32"/>
          <w:szCs w:val="32"/>
        </w:rPr>
        <w:t>自然资源及海洋气象等（220）自然资源事务（01）事业运行（50）</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52.12</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pPr>
        <w:tabs>
          <w:tab w:val="right" w:pos="8306"/>
        </w:tabs>
        <w:spacing w:line="560" w:lineRule="exact"/>
        <w:ind w:firstLine="641"/>
        <w:outlineLvl w:val="1"/>
        <w:rPr>
          <w:rStyle w:val="30"/>
        </w:rPr>
      </w:pPr>
      <w:bookmarkStart w:id="55" w:name="_Toc1162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53"/>
      <w:bookmarkEnd w:id="54"/>
      <w:bookmarkEnd w:id="55"/>
      <w:r>
        <w:rPr>
          <w:rStyle w:val="30"/>
          <w:rFonts w:ascii="黑体" w:hAnsi="黑体" w:eastAsia="黑体"/>
          <w:b w:val="0"/>
        </w:rPr>
        <w:tab/>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w:t>
      </w:r>
      <w:r>
        <w:rPr>
          <w:rFonts w:hint="eastAsia" w:ascii="仿宋_GB2312" w:hAnsi="仿宋_GB2312" w:eastAsia="仿宋_GB2312" w:cs="仿宋_GB2312"/>
          <w:color w:val="000000"/>
          <w:sz w:val="32"/>
          <w:szCs w:val="32"/>
        </w:rPr>
        <w:t>财政拨款基本支出52.12万元，其中：</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41.62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6"/>
        <w:rPr>
          <w:rFonts w:ascii="仿宋" w:hAnsi="仿宋" w:eastAsia="仿宋"/>
          <w:color w:val="000000"/>
          <w:sz w:val="32"/>
          <w:szCs w:val="32"/>
        </w:rPr>
      </w:pPr>
      <w:r>
        <w:rPr>
          <w:rFonts w:hint="eastAsia" w:ascii="仿宋_GB2312" w:hAnsi="仿宋_GB2312" w:eastAsia="仿宋_GB2312" w:cs="仿宋_GB2312"/>
          <w:sz w:val="32"/>
          <w:szCs w:val="32"/>
        </w:rPr>
        <w:t>日常公用经费10.50万元，主要包括：办公费、印刷费、咨询费、手续费、水费、电费、邮电费、取暖费、物业管理费、差旅费、因公出国（境）费用、维修</w:t>
      </w:r>
      <w:r>
        <w:rPr>
          <w:rFonts w:hint="eastAsia" w:ascii="仿宋_GB2312" w:hAnsi="仿宋_GB2312" w:eastAsia="仿宋_GB2312" w:cs="仿宋_GB2312"/>
          <w:color w:val="000000"/>
          <w:sz w:val="32"/>
          <w:szCs w:val="32"/>
        </w:rPr>
        <w:t>（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1"/>
        <w:outlineLvl w:val="1"/>
        <w:rPr>
          <w:rStyle w:val="30"/>
          <w:rFonts w:ascii="黑体" w:hAnsi="黑体" w:eastAsia="黑体"/>
          <w:b w:val="0"/>
        </w:rPr>
      </w:pPr>
      <w:bookmarkStart w:id="56" w:name="_Toc15377215"/>
      <w:bookmarkStart w:id="57" w:name="_Toc15396609"/>
      <w:bookmarkStart w:id="58" w:name="_Toc25909"/>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56"/>
      <w:bookmarkEnd w:id="57"/>
      <w:bookmarkEnd w:id="58"/>
    </w:p>
    <w:p>
      <w:pPr>
        <w:spacing w:line="560" w:lineRule="exact"/>
        <w:ind w:firstLine="640"/>
        <w:rPr>
          <w:rFonts w:ascii="仿宋" w:hAnsi="仿宋" w:eastAsia="仿宋"/>
          <w:b/>
          <w:color w:val="000000"/>
          <w:sz w:val="32"/>
          <w:szCs w:val="32"/>
        </w:rPr>
      </w:pPr>
      <w:bookmarkStart w:id="59" w:name="_Toc15377216"/>
      <w:r>
        <w:rPr>
          <w:rFonts w:hint="eastAsia" w:ascii="楷体_GB2312" w:hAnsi="楷体_GB2312" w:eastAsia="楷体_GB2312" w:cs="楷体_GB2312"/>
          <w:b/>
          <w:color w:val="000000"/>
          <w:sz w:val="32"/>
          <w:szCs w:val="32"/>
        </w:rPr>
        <w:t>（一）“三公”经费财政拨款支出决算总体情况说明</w:t>
      </w:r>
      <w:bookmarkEnd w:id="59"/>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2020年“三公”经费财政拨款支出决算为0万元，完成预算100%。</w:t>
      </w:r>
    </w:p>
    <w:p>
      <w:pPr>
        <w:spacing w:line="560" w:lineRule="exact"/>
        <w:ind w:firstLine="640"/>
        <w:rPr>
          <w:rFonts w:ascii="楷体_GB2312" w:hAnsi="楷体_GB2312" w:eastAsia="楷体_GB2312" w:cs="楷体_GB2312"/>
          <w:b/>
          <w:color w:val="000000"/>
          <w:sz w:val="32"/>
          <w:szCs w:val="32"/>
        </w:rPr>
      </w:pPr>
      <w:bookmarkStart w:id="60" w:name="_Toc15377217"/>
      <w:r>
        <w:rPr>
          <w:rFonts w:hint="eastAsia" w:ascii="楷体_GB2312" w:hAnsi="楷体_GB2312" w:eastAsia="楷体_GB2312" w:cs="楷体_GB2312"/>
          <w:b/>
          <w:color w:val="000000"/>
          <w:sz w:val="32"/>
          <w:szCs w:val="32"/>
        </w:rPr>
        <w:t>（二）“三公”经费财政拨款支出决算具体情况说明</w:t>
      </w:r>
      <w:bookmarkEnd w:id="60"/>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2020年“三公”经费财政拨款支出决算中，因公出国（境）费支出决算0万元，占0%；公务用车购置及运行维护费支出决算0万元，占0%；公务接待费支出决算0万元，占100%。具体情况如下：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430530</wp:posOffset>
            </wp:positionH>
            <wp:positionV relativeFrom="paragraph">
              <wp:posOffset>-567055</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（图7：“三公”经费财政拨款支出结构）（饼状图）</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全年安排因公出国（境）团组0次，出国（境）0人。与2019年持平。</w:t>
      </w:r>
    </w:p>
    <w:p>
      <w:pPr>
        <w:spacing w:line="56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与2019年持平。</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0万元。全年按规定更新购置公务用车0辆，金额0元。截至2020年12月底，单位共有公务用车0辆，其中：主要领导干部用车0辆、机要通信用车0辆、应急保障用车0辆、 执法执勤用车0辆。</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公务用车运行维护费支出0万元，与2019年持平。</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公务接待费支出决算比2019年增加0万元，增加0%。</w:t>
      </w:r>
      <w:bookmarkStart w:id="61" w:name="_Toc15377218"/>
      <w:bookmarkStart w:id="62" w:name="_Toc15396610"/>
    </w:p>
    <w:p>
      <w:pPr>
        <w:pStyle w:val="4"/>
        <w:ind w:firstLine="640" w:firstLineChars="200"/>
        <w:rPr>
          <w:rFonts w:ascii="仿宋_GB2312" w:eastAsia="仿宋_GB2312"/>
          <w:b w:val="0"/>
          <w:bCs w:val="0"/>
        </w:rPr>
      </w:pPr>
      <w:r>
        <w:rPr>
          <w:rFonts w:hint="eastAsia" w:ascii="仿宋_GB2312" w:eastAsia="仿宋_GB2312"/>
          <w:b w:val="0"/>
          <w:bCs w:val="0"/>
        </w:rPr>
        <w:t>国内公务接待支出0万元，国内公务接待0批次，0人次,</w:t>
      </w:r>
      <w:r>
        <w:rPr>
          <w:rFonts w:hint="eastAsia" w:ascii="仿宋_GB2312" w:eastAsia="仿宋_GB2312"/>
        </w:rPr>
        <w:t xml:space="preserve"> 共计支出0万元</w:t>
      </w:r>
      <w:r>
        <w:rPr>
          <w:rFonts w:hint="eastAsia" w:ascii="仿宋_GB2312" w:eastAsia="仿宋_GB2312"/>
          <w:b w:val="0"/>
          <w:bCs w:val="0"/>
        </w:rPr>
        <w:t>。</w:t>
      </w:r>
    </w:p>
    <w:p>
      <w:pPr>
        <w:pStyle w:val="2"/>
        <w:ind w:firstLine="640" w:firstLineChars="200"/>
      </w:pPr>
      <w:r>
        <w:rPr>
          <w:rFonts w:hint="eastAsia" w:ascii="仿宋_GB2312" w:eastAsia="仿宋_GB2312"/>
          <w:sz w:val="32"/>
          <w:szCs w:val="32"/>
        </w:rPr>
        <w:t>外事接待支出0万元，外事接待0批次0人，共计支出0万元。</w:t>
      </w:r>
    </w:p>
    <w:p>
      <w:pPr>
        <w:spacing w:line="560" w:lineRule="exact"/>
        <w:ind w:firstLine="641"/>
        <w:outlineLvl w:val="1"/>
        <w:rPr>
          <w:rStyle w:val="30"/>
          <w:rFonts w:ascii="黑体" w:hAnsi="黑体" w:eastAsia="黑体"/>
        </w:rPr>
      </w:pPr>
      <w:bookmarkStart w:id="63" w:name="_Toc15592"/>
      <w:r>
        <w:rPr>
          <w:rFonts w:hint="eastAsia" w:ascii="黑体" w:eastAsia="黑体"/>
          <w:color w:val="000000"/>
          <w:sz w:val="32"/>
          <w:szCs w:val="32"/>
        </w:rPr>
        <w:t>八、</w:t>
      </w:r>
      <w:r>
        <w:rPr>
          <w:rStyle w:val="30"/>
          <w:rFonts w:hint="eastAsia" w:ascii="黑体" w:hAnsi="黑体" w:eastAsia="黑体"/>
          <w:b w:val="0"/>
        </w:rPr>
        <w:t>政府性基金预算支出决算情况说明</w:t>
      </w:r>
      <w:bookmarkEnd w:id="61"/>
      <w:bookmarkEnd w:id="62"/>
      <w:bookmarkEnd w:id="63"/>
    </w:p>
    <w:p>
      <w:pPr>
        <w:spacing w:line="560" w:lineRule="exact"/>
        <w:ind w:firstLine="641"/>
        <w:rPr>
          <w:rFonts w:ascii="仿宋_GB2312" w:eastAsia="仿宋_GB2312"/>
          <w:color w:val="000000"/>
          <w:sz w:val="32"/>
          <w:szCs w:val="32"/>
        </w:rPr>
      </w:pPr>
      <w:r>
        <w:rPr>
          <w:rFonts w:hint="eastAsia" w:ascii="仿宋_GB2312" w:hAnsi="仿宋_GB2312" w:eastAsia="仿宋_GB2312" w:cs="仿宋_GB2312"/>
          <w:color w:val="000000"/>
          <w:sz w:val="32"/>
          <w:szCs w:val="32"/>
        </w:rPr>
        <w:t>2020年政府性基金预算拨款支出68,861.47万元。</w:t>
      </w:r>
    </w:p>
    <w:p>
      <w:pPr>
        <w:numPr>
          <w:ilvl w:val="0"/>
          <w:numId w:val="7"/>
        </w:numPr>
        <w:spacing w:line="560" w:lineRule="exact"/>
        <w:ind w:firstLine="640"/>
        <w:outlineLvl w:val="1"/>
        <w:rPr>
          <w:rStyle w:val="30"/>
          <w:rFonts w:ascii="黑体" w:hAnsi="黑体" w:eastAsia="黑体"/>
          <w:b w:val="0"/>
        </w:rPr>
      </w:pPr>
      <w:bookmarkStart w:id="64" w:name="_Toc15377219"/>
      <w:bookmarkStart w:id="65" w:name="_Toc2937"/>
      <w:bookmarkStart w:id="66" w:name="_Toc15396611"/>
      <w:r>
        <w:rPr>
          <w:rStyle w:val="30"/>
          <w:rFonts w:hint="eastAsia" w:ascii="黑体" w:hAnsi="黑体" w:eastAsia="黑体"/>
          <w:b w:val="0"/>
        </w:rPr>
        <w:t>国有资本经营预算支出决算情况说明</w:t>
      </w:r>
      <w:bookmarkEnd w:id="64"/>
      <w:bookmarkEnd w:id="65"/>
      <w:bookmarkEnd w:id="66"/>
    </w:p>
    <w:p>
      <w:pPr>
        <w:spacing w:line="560" w:lineRule="exact"/>
        <w:ind w:firstLine="641"/>
        <w:rPr>
          <w:rFonts w:ascii="方正小标宋简体" w:hAnsi="方正小标宋简体" w:eastAsia="方正小标宋简体" w:cs="方正小标宋简体"/>
          <w:sz w:val="32"/>
          <w:szCs w:val="32"/>
        </w:rPr>
      </w:pPr>
      <w:r>
        <w:rPr>
          <w:rFonts w:hint="eastAsia" w:ascii="仿宋_GB2312" w:eastAsia="仿宋_GB2312"/>
          <w:color w:val="000000"/>
          <w:sz w:val="32"/>
          <w:szCs w:val="32"/>
        </w:rPr>
        <w:t>2020年国有资本经营预算拨款支出0万元。</w:t>
      </w:r>
    </w:p>
    <w:p>
      <w:pPr>
        <w:spacing w:line="560" w:lineRule="exact"/>
        <w:ind w:firstLine="800" w:firstLineChars="250"/>
        <w:outlineLvl w:val="1"/>
        <w:rPr>
          <w:rStyle w:val="30"/>
          <w:rFonts w:ascii="黑体" w:hAnsi="黑体" w:eastAsia="黑体"/>
        </w:rPr>
      </w:pPr>
      <w:bookmarkStart w:id="67" w:name="_Toc15396612"/>
      <w:bookmarkStart w:id="68" w:name="_Toc15377221"/>
      <w:bookmarkStart w:id="69" w:name="_Toc26109"/>
      <w:r>
        <w:rPr>
          <w:rFonts w:hint="eastAsia" w:ascii="黑体" w:hAnsi="黑体" w:eastAsia="黑体"/>
          <w:color w:val="000000"/>
          <w:sz w:val="32"/>
          <w:szCs w:val="32"/>
        </w:rPr>
        <w:t>十</w:t>
      </w:r>
      <w:r>
        <w:rPr>
          <w:rStyle w:val="30"/>
          <w:rFonts w:hint="eastAsia" w:ascii="黑体" w:hAnsi="黑体" w:eastAsia="黑体"/>
        </w:rPr>
        <w:t>、</w:t>
      </w:r>
      <w:r>
        <w:rPr>
          <w:rStyle w:val="30"/>
          <w:rFonts w:hint="eastAsia" w:ascii="黑体" w:hAnsi="黑体" w:eastAsia="黑体"/>
          <w:b w:val="0"/>
        </w:rPr>
        <w:t>其他重要事项的情况说明</w:t>
      </w:r>
      <w:bookmarkEnd w:id="67"/>
      <w:bookmarkEnd w:id="68"/>
      <w:bookmarkEnd w:id="69"/>
    </w:p>
    <w:p>
      <w:pPr>
        <w:spacing w:line="560" w:lineRule="exact"/>
        <w:ind w:firstLine="643" w:firstLineChars="200"/>
        <w:rPr>
          <w:rFonts w:ascii="楷体_GB2312" w:hAnsi="楷体_GB2312" w:eastAsia="楷体_GB2312" w:cs="楷体_GB2312"/>
          <w:color w:val="000000"/>
          <w:sz w:val="32"/>
          <w:szCs w:val="32"/>
        </w:rPr>
      </w:pPr>
      <w:bookmarkStart w:id="70" w:name="_Toc15377222"/>
      <w:r>
        <w:rPr>
          <w:rFonts w:hint="eastAsia" w:ascii="楷体_GB2312" w:hAnsi="楷体_GB2312" w:eastAsia="楷体_GB2312" w:cs="楷体_GB2312"/>
          <w:b/>
          <w:color w:val="000000"/>
          <w:sz w:val="32"/>
          <w:szCs w:val="32"/>
        </w:rPr>
        <w:t>（一）机关运行经费支出情况</w:t>
      </w:r>
      <w:bookmarkEnd w:id="70"/>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2020年，土地储备中心机关运行经费支出0万元，比</w:t>
      </w:r>
      <w:r>
        <w:rPr>
          <w:rFonts w:ascii="仿宋_GB2312" w:eastAsia="仿宋_GB2312"/>
          <w:color w:val="000000"/>
          <w:sz w:val="32"/>
          <w:szCs w:val="32"/>
        </w:rPr>
        <w:t>20</w:t>
      </w:r>
      <w:r>
        <w:rPr>
          <w:rFonts w:hint="eastAsia" w:ascii="仿宋_GB2312" w:eastAsia="仿宋_GB2312"/>
          <w:color w:val="000000"/>
          <w:sz w:val="32"/>
          <w:szCs w:val="32"/>
        </w:rPr>
        <w:t>19年增加0万元，增加0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560" w:lineRule="exact"/>
        <w:ind w:firstLine="643" w:firstLineChars="200"/>
        <w:jc w:val="left"/>
        <w:rPr>
          <w:rFonts w:ascii="楷体_GB2312" w:hAnsi="楷体_GB2312" w:eastAsia="楷体_GB2312" w:cs="楷体_GB2312"/>
          <w:b/>
          <w:color w:val="000000"/>
          <w:sz w:val="32"/>
          <w:szCs w:val="32"/>
        </w:rPr>
      </w:pPr>
      <w:bookmarkStart w:id="71" w:name="_Toc15377223"/>
      <w:r>
        <w:rPr>
          <w:rFonts w:hint="eastAsia" w:ascii="楷体_GB2312" w:hAnsi="楷体_GB2312" w:eastAsia="楷体_GB2312" w:cs="楷体_GB2312"/>
          <w:b/>
          <w:color w:val="000000"/>
          <w:sz w:val="32"/>
          <w:szCs w:val="32"/>
        </w:rPr>
        <w:t>（二）政府采购支出情况</w:t>
      </w:r>
      <w:bookmarkEnd w:id="71"/>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2020年，土地储备中心政府采购支出总额150.00万元，其中：政府采购货物支出0.00万元、政府采购工程支出0.00万元、政府采购服务支出150.00万元。授予中小企业合同金额0.00万元，占政府采购支出总额的0.00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560" w:lineRule="exact"/>
        <w:ind w:firstLine="643" w:firstLineChars="200"/>
        <w:jc w:val="left"/>
        <w:rPr>
          <w:rFonts w:ascii="楷体_GB2312" w:hAnsi="楷体_GB2312" w:eastAsia="楷体_GB2312" w:cs="楷体_GB2312"/>
          <w:b/>
          <w:color w:val="000000"/>
          <w:sz w:val="32"/>
          <w:szCs w:val="32"/>
        </w:rPr>
      </w:pPr>
      <w:bookmarkStart w:id="72" w:name="_Toc15377224"/>
      <w:r>
        <w:rPr>
          <w:rFonts w:hint="eastAsia" w:ascii="楷体_GB2312" w:hAnsi="楷体_GB2312" w:eastAsia="楷体_GB2312" w:cs="楷体_GB2312"/>
          <w:b/>
          <w:color w:val="000000"/>
          <w:sz w:val="32"/>
          <w:szCs w:val="32"/>
        </w:rPr>
        <w:t>（三）国有资产占有使用情况</w:t>
      </w:r>
      <w:bookmarkEnd w:id="72"/>
    </w:p>
    <w:p>
      <w:pPr>
        <w:autoSpaceDE w:val="0"/>
        <w:autoSpaceDN w:val="0"/>
        <w:adjustRightInd w:val="0"/>
        <w:spacing w:line="56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日，土地储备中心共有车辆0辆，其中：主要领导干部用车0辆、机要通信用车0辆、特种专业技术用车0辆、应急保障用车0辆、其他用车0辆、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16个项目开展了预算事前绩效评估，对16个项目编制了绩效目标，预算执行过程中，选取5个项目开展绩效监控，年终执行完毕后，对5个项目开展了绩效目标完成情况自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（四）项目绩效目标完成情况。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本部门在2020年度部门决算中反映“土地报批相关费用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，“清欠社保历史欠款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，“土地收储及企业腾退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，“过渡费及货币安置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，“杆管线迁改费用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等5个项目绩效目标实际完成情况。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（1）土地报批相关费用项目绩效目标完成情况综述。项目全年预算数13,878.41万元，执行数为13,878.41万元，完成预算的100%。通过项目实施，完成2020年土地报批计划。</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（2）清欠社保历史欠款项目资金项目绩效目标完成情况综述。项目全年预算数4,958.78万元，执行数为4,958.78万元，完成预算的100%。通过项目实施，完成清欠社保历史欠款工作。</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（3）土地收储及企业腾退项目绩效目标完成情况综述。项目全年预算数30,919.93万元，执行数为30,919.93万元，完成预算的100%。通过项目实施，完成土地收储及企业腾退工作。</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（4）过渡费及货币安置项目绩效目标完成情况综述。项目全年预算数1,918.30万元，执行数为1,918.30万元，完成预算的100%。通过项目实施，完成过渡费及货币安置工作。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（5）杆管线迁改费用项目绩效目标完成情况综述。项目全年预算数63.98万元，执行数为63.98万元，完成预算的100%。通过项目实施，完成杆管线迁改工作。</w:t>
      </w:r>
    </w:p>
    <w:p>
      <w:pPr>
        <w:spacing w:line="560" w:lineRule="exact"/>
        <w:ind w:firstLine="640" w:firstLineChars="20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451"/>
        <w:gridCol w:w="2335"/>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39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土地报批相关费用</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四川省乐山市高新技术产业开发区土地储备中心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13,878.41</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13,878.41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13,878.41</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13,878.41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完成20</w:t>
            </w:r>
            <w:r>
              <w:rPr>
                <w:rFonts w:hint="eastAsia" w:ascii="宋体" w:hAnsi="宋体" w:cs="宋体"/>
                <w:color w:val="000000"/>
                <w:sz w:val="24"/>
              </w:rPr>
              <w:t>20</w:t>
            </w:r>
            <w:r>
              <w:rPr>
                <w:rFonts w:ascii="宋体" w:hAnsi="宋体" w:cs="宋体"/>
                <w:color w:val="000000"/>
                <w:sz w:val="24"/>
              </w:rPr>
              <w:t>年度年度土地报批计划</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完成20</w:t>
            </w:r>
            <w:r>
              <w:rPr>
                <w:rFonts w:hint="eastAsia" w:ascii="宋体" w:hAnsi="宋体" w:cs="宋体"/>
                <w:color w:val="000000"/>
                <w:sz w:val="24"/>
              </w:rPr>
              <w:t>20</w:t>
            </w:r>
            <w:r>
              <w:rPr>
                <w:rFonts w:ascii="宋体" w:hAnsi="宋体" w:cs="宋体"/>
                <w:color w:val="000000"/>
                <w:sz w:val="24"/>
              </w:rPr>
              <w:t>年度年度土地报批计划</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经费138,784,122.60元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经费138,784,122.60元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ascii="宋体" w:hAnsi="宋体" w:cs="宋体"/>
                <w:color w:val="000000"/>
                <w:sz w:val="24"/>
              </w:rPr>
              <w:t>土地报批计划</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ascii="宋体" w:hAnsi="宋体" w:cs="宋体"/>
                <w:color w:val="000000"/>
                <w:sz w:val="24"/>
              </w:rPr>
              <w:t>完成20</w:t>
            </w:r>
            <w:r>
              <w:rPr>
                <w:rFonts w:hint="eastAsia" w:ascii="宋体" w:hAnsi="宋体" w:cs="宋体"/>
                <w:color w:val="000000"/>
                <w:sz w:val="24"/>
              </w:rPr>
              <w:t>20</w:t>
            </w:r>
            <w:r>
              <w:rPr>
                <w:rFonts w:ascii="宋体" w:hAnsi="宋体" w:cs="宋体"/>
                <w:color w:val="000000"/>
                <w:sz w:val="24"/>
              </w:rPr>
              <w:t>年度年度土地报批计划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ascii="宋体" w:hAnsi="宋体" w:cs="宋体"/>
                <w:color w:val="000000"/>
                <w:sz w:val="24"/>
              </w:rPr>
              <w:t>完成20</w:t>
            </w:r>
            <w:r>
              <w:rPr>
                <w:rFonts w:hint="eastAsia" w:ascii="宋体" w:hAnsi="宋体" w:cs="宋体"/>
                <w:color w:val="000000"/>
                <w:sz w:val="24"/>
              </w:rPr>
              <w:t>20</w:t>
            </w:r>
            <w:r>
              <w:rPr>
                <w:rFonts w:ascii="宋体" w:hAnsi="宋体" w:cs="宋体"/>
                <w:color w:val="000000"/>
                <w:sz w:val="24"/>
              </w:rPr>
              <w:t>年度年度土地报批计划</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33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清欠社保历史欠款</w:t>
            </w:r>
          </w:p>
        </w:tc>
      </w:tr>
      <w:tr>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四川省乐山市高新技术产业开发区土地储备中心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4,958.78</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4,958.78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4,958.78</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4,958.78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完成清欠社保历史欠款工作</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完成清欠社保历史欠款工作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经费49,587,840.00元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经费49,587,840.00元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清欠社保历史欠款</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完成清欠社保历史欠款工作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完成清欠社保历史欠款工作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土地收储及企业腾退</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四川省乐山市高新技术产业开发区土地储备中心</w:t>
            </w:r>
          </w:p>
        </w:tc>
      </w:tr>
      <w:tr>
        <w:tblPrEx>
          <w:tblCellMar>
            <w:top w:w="0" w:type="dxa"/>
            <w:left w:w="0" w:type="dxa"/>
            <w:bottom w:w="0" w:type="dxa"/>
            <w:right w:w="0" w:type="dxa"/>
          </w:tblCellMar>
        </w:tblPrEx>
        <w:trPr>
          <w:trHeight w:val="208"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30,919.93</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30,919.93</w:t>
            </w:r>
          </w:p>
        </w:tc>
      </w:tr>
      <w:tr>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30,919.93</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30,919.93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完成土地收储及企业腾退工作</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完成土地收储及企业腾退工作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经费309,199,334.00元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经费309,199,334.00元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土地收储及企业腾退工作</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完成土地收储及企业腾退工作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完成土地收储及企业腾退工作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16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过渡费及货币安置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四川省乐山市高新技术产业开发区土地储备中心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1,918</w:t>
            </w:r>
            <w:r>
              <w:rPr>
                <w:rFonts w:hint="eastAsia" w:ascii="宋体" w:hAnsi="宋体" w:cs="宋体"/>
                <w:color w:val="000000"/>
                <w:sz w:val="24"/>
              </w:rPr>
              <w:t>.</w:t>
            </w:r>
            <w:r>
              <w:rPr>
                <w:rFonts w:ascii="宋体" w:hAnsi="宋体" w:cs="宋体"/>
                <w:color w:val="000000"/>
                <w:sz w:val="24"/>
              </w:rPr>
              <w:t>30</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1,918</w:t>
            </w:r>
            <w:r>
              <w:rPr>
                <w:rFonts w:hint="eastAsia" w:ascii="宋体" w:hAnsi="宋体" w:cs="宋体"/>
                <w:color w:val="000000"/>
                <w:sz w:val="24"/>
              </w:rPr>
              <w:t>.</w:t>
            </w:r>
            <w:r>
              <w:rPr>
                <w:rFonts w:ascii="宋体" w:hAnsi="宋体" w:cs="宋体"/>
                <w:color w:val="000000"/>
                <w:sz w:val="24"/>
              </w:rPr>
              <w:t>30</w:t>
            </w:r>
          </w:p>
        </w:tc>
      </w:tr>
      <w:tr>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1,918</w:t>
            </w:r>
            <w:r>
              <w:rPr>
                <w:rFonts w:hint="eastAsia" w:ascii="宋体" w:hAnsi="宋体" w:cs="宋体"/>
                <w:color w:val="000000"/>
                <w:sz w:val="24"/>
              </w:rPr>
              <w:t>.</w:t>
            </w:r>
            <w:r>
              <w:rPr>
                <w:rFonts w:ascii="宋体" w:hAnsi="宋体" w:cs="宋体"/>
                <w:color w:val="000000"/>
                <w:sz w:val="24"/>
              </w:rPr>
              <w:t>30</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1,918</w:t>
            </w:r>
            <w:r>
              <w:rPr>
                <w:rFonts w:hint="eastAsia" w:ascii="宋体" w:hAnsi="宋体" w:cs="宋体"/>
                <w:color w:val="000000"/>
                <w:sz w:val="24"/>
              </w:rPr>
              <w:t>.</w:t>
            </w:r>
            <w:r>
              <w:rPr>
                <w:rFonts w:ascii="宋体" w:hAnsi="宋体" w:cs="宋体"/>
                <w:color w:val="000000"/>
                <w:sz w:val="24"/>
              </w:rPr>
              <w:t>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0</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sz w:val="24"/>
              </w:rPr>
              <w:t>完成被征地农民城乡居民医疗保险缴费工作</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sz w:val="24"/>
              </w:rPr>
              <w:t>完成被征地农民城乡居民医疗保险缴费工作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过渡费及货币安置</w:t>
            </w:r>
            <w:r>
              <w:rPr>
                <w:rFonts w:hint="eastAsia" w:ascii="宋体" w:hAnsi="宋体" w:cs="宋体"/>
                <w:color w:val="000000"/>
                <w:kern w:val="0"/>
                <w:sz w:val="24"/>
              </w:rPr>
              <w:t>费</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过渡费及货币安置费19,183,000.00元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过渡费及货币安置费19,183,000.00元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过渡费及货币安置</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完成过渡费及货币安置工作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完成过渡费及货币安置工作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236"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杆管线迁改费用</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四川省乐山市高新技术产业开发区土地储备中心</w:t>
            </w:r>
          </w:p>
        </w:tc>
      </w:tr>
      <w:tr>
        <w:tblPrEx>
          <w:tblCellMar>
            <w:top w:w="0" w:type="dxa"/>
            <w:left w:w="0" w:type="dxa"/>
            <w:bottom w:w="0" w:type="dxa"/>
            <w:right w:w="0" w:type="dxa"/>
          </w:tblCellMar>
        </w:tblPrEx>
        <w:trPr>
          <w:trHeight w:val="33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63</w:t>
            </w:r>
            <w:r>
              <w:rPr>
                <w:rFonts w:hint="eastAsia" w:ascii="宋体" w:hAnsi="宋体" w:cs="宋体"/>
                <w:color w:val="000000"/>
                <w:sz w:val="24"/>
              </w:rPr>
              <w:t>.</w:t>
            </w:r>
            <w:r>
              <w:rPr>
                <w:rFonts w:ascii="宋体" w:hAnsi="宋体" w:cs="宋体"/>
                <w:color w:val="000000"/>
                <w:sz w:val="24"/>
              </w:rPr>
              <w:t>98</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63</w:t>
            </w:r>
            <w:r>
              <w:rPr>
                <w:rFonts w:hint="eastAsia" w:ascii="宋体" w:hAnsi="宋体" w:cs="宋体"/>
                <w:color w:val="000000"/>
                <w:sz w:val="24"/>
              </w:rPr>
              <w:t>.</w:t>
            </w:r>
            <w:r>
              <w:rPr>
                <w:rFonts w:ascii="宋体" w:hAnsi="宋体" w:cs="宋体"/>
                <w:color w:val="000000"/>
                <w:sz w:val="24"/>
              </w:rPr>
              <w:t>98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63</w:t>
            </w:r>
            <w:r>
              <w:rPr>
                <w:rFonts w:hint="eastAsia" w:ascii="宋体" w:hAnsi="宋体" w:cs="宋体"/>
                <w:color w:val="000000"/>
                <w:sz w:val="24"/>
              </w:rPr>
              <w:t>.</w:t>
            </w:r>
            <w:r>
              <w:rPr>
                <w:rFonts w:ascii="宋体" w:hAnsi="宋体" w:cs="宋体"/>
                <w:color w:val="000000"/>
                <w:sz w:val="24"/>
              </w:rPr>
              <w:t>98</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ascii="宋体" w:hAnsi="宋体" w:cs="宋体"/>
                <w:color w:val="000000"/>
                <w:sz w:val="24"/>
              </w:rPr>
              <w:t>63</w:t>
            </w:r>
            <w:r>
              <w:rPr>
                <w:rFonts w:hint="eastAsia" w:ascii="宋体" w:hAnsi="宋体" w:cs="宋体"/>
                <w:color w:val="000000"/>
                <w:sz w:val="24"/>
              </w:rPr>
              <w:t>.</w:t>
            </w:r>
            <w:r>
              <w:rPr>
                <w:rFonts w:ascii="宋体" w:hAnsi="宋体" w:cs="宋体"/>
                <w:color w:val="000000"/>
                <w:sz w:val="24"/>
              </w:rPr>
              <w:t>98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完成杆管线迁改工作</w:t>
            </w:r>
          </w:p>
        </w:tc>
        <w:tc>
          <w:tcPr>
            <w:tcW w:w="47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完成杆管线迁改工作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杆管线迁改工作</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杆管线迁改费</w:t>
            </w:r>
            <w:r>
              <w:rPr>
                <w:rFonts w:hint="eastAsia" w:ascii="宋体" w:hAnsi="宋体" w:cs="宋体"/>
                <w:color w:val="000000"/>
                <w:kern w:val="0"/>
                <w:sz w:val="24"/>
              </w:rPr>
              <w:t>639,840.97元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杆管线迁改费</w:t>
            </w:r>
            <w:r>
              <w:rPr>
                <w:rFonts w:hint="eastAsia" w:ascii="宋体" w:hAnsi="宋体" w:cs="宋体"/>
                <w:color w:val="000000"/>
                <w:kern w:val="0"/>
                <w:sz w:val="24"/>
              </w:rPr>
              <w:t>639,840.97元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完成杆管线迁改工作</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完成杆管线迁改工作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完成杆管线迁改工作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bl>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本部门按要求对2020年部门整体支出绩效评价情况开展自评，《乐山高新技术产业开发区土地储备中心2020年部门整体支出绩效评价报告》见附件（附件1）。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0" w:firstLineChars="150"/>
        <w:jc w:val="center"/>
        <w:outlineLvl w:val="0"/>
        <w:rPr>
          <w:rStyle w:val="29"/>
          <w:rFonts w:ascii="方正小标宋简体" w:hAnsi="方正小标宋简体" w:eastAsia="方正小标宋简体" w:cs="方正小标宋简体"/>
          <w:b w:val="0"/>
        </w:rPr>
      </w:pPr>
      <w:bookmarkStart w:id="73" w:name="_Toc28216"/>
      <w:bookmarkStart w:id="74" w:name="_Toc15377225"/>
      <w:bookmarkStart w:id="75" w:name="_Toc15396613"/>
      <w:r>
        <w:rPr>
          <w:rFonts w:hint="eastAsia" w:ascii="方正小标宋简体" w:hAnsi="方正小标宋简体" w:eastAsia="方正小标宋简体" w:cs="方正小标宋简体"/>
          <w:color w:val="000000"/>
          <w:sz w:val="44"/>
          <w:szCs w:val="44"/>
        </w:rPr>
        <w:t>名</w:t>
      </w:r>
      <w:r>
        <w:rPr>
          <w:rStyle w:val="29"/>
          <w:rFonts w:hint="eastAsia" w:ascii="方正小标宋简体" w:hAnsi="方正小标宋简体" w:eastAsia="方正小标宋简体" w:cs="方正小标宋简体"/>
          <w:b w:val="0"/>
        </w:rPr>
        <w:t>词解释</w:t>
      </w:r>
      <w:bookmarkEnd w:id="73"/>
      <w:bookmarkEnd w:id="74"/>
      <w:bookmarkEnd w:id="75"/>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财政拨款收入：指反映单位从同级财政部门取得的财政预算资金。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事业收入：指反映事业单位开展专业业务活动及辅助活动取得的收入。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年初结转和结余：指反映以前年度尚未完成、结转到本年按有关规定继续使用的资金。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结余分配：指反映事业单位按照事业单位会计制度的规定从非财政补助结余中分配的事业基金和职工福利基金等。</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5、年末结转和结余：指反映单位按有关规定结转到下年或以后年度继续使用的资金。</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一般公共服务（类）政府办公厅（室）及相关机构事务（款）行政运行（项）:指反映行政单位（包括实行公务员管理的事业单位）的基本支出。</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7.一般公共服务（类）政府办公厅（室）及相关机构事务（款）一般行政管理事务（项）:指反映行政单位（包括实行公务员管理的事业单位）未单独设置项级科目的其他项目支出。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国防支出（类）国防动员（款）人民防空（项）：指反映人民防空工程建设、宣传等方面的支出。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节能环保（类）污染防治（款）水体（项）：指反映政府在排水、污水处理、水体污染防治等方面的支出。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12.城乡社区（类）城乡社区环境卫生（款）城乡社区环境卫生（项）：指反映城乡社区道路清扫、垃圾清运与处理、公厕建设与维护、园林绿化等方面的支出。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13.城乡社区（类）国有土地使用权出让收入安排的支出（款）土地开发支出（项）：指反映地方政府用于前期土地开发性支出以及前期土地开发相关的费用等支出。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14.城乡社区（类）城市基础设施配套费安排的支出（款）城市公共设施（项）：指反映城市基础设施配套费安排用于城市道路、桥涵、公共交通、道路照明、供排水、燃气、供热等公共设施维护、建设和管理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15.城乡社区（类）城市基础设施配套费安排的支出（款）城市环境卫生（项）：指反映城市基础设施配套费安排用于道路清扫、垃圾清运与处理、污水处理、园林绿化等方面的支出。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16.城乡社区（类）污水处理费安排的支出（款）代征手续费（项）：指反映用污水处理费安排的代征手续费支出。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17.农林水支出（类）农业（款）防灾救灾（项）：指反映对农业生产因遭受自然、生物灾害损失给予的补助，促进农业防灾增产措施补助，因其他灾害导致农牧渔业生产者损失给予的补助。</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18.农林水支出（类）水利（款）水利工程运行与维护(项):指反映水利系统用于江、河等治理工程运行与维护方面的支出。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20.农林水支出（类）水利（款）防汛（项）：指反映防汛业务支出。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20.农林水支出（类）水利（款）江河湖库水系综合整治（项）：指反映江河湖库水系综合整治方面的支出。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21.交通运输支出（类）公路水路运输（款）公路建设（项）：指反映新建公路支出，公路改建支出。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22.交通运输支出（类）公路水路运输（款）公路和运输安全（项）：指反映公路和运输安全支出。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23.交通运输支出（类）车辆购置税支出（款）车辆购置税其他支出（项）：指反映车辆购置税收入安排的其他支出。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24.交通运输支出（类）其他交通运输支出（款）其他交通运输支出（项）：指反映其他交通运输支出中除对公共交通运营补助以外的其他支出。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25.资源勘探信息等支出（类）支持中小企业发展和管理支出（款）其他支持中小企业发展和管理支出（项）：指反映行政单位的（包括施行公务员管理的事业单位）未单独设置项级科目的其他用于支持中小企业发展和管理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26.住房保障（类）保障性安居工程支出（款）保障性安居工程支出（项）：指反映其他用于保障性住房方面的支出。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sz w:val="32"/>
          <w:szCs w:val="32"/>
        </w:rPr>
      </w:pPr>
    </w:p>
    <w:p>
      <w:pPr>
        <w:spacing w:line="560" w:lineRule="exact"/>
        <w:jc w:val="center"/>
        <w:outlineLvl w:val="0"/>
        <w:rPr>
          <w:rStyle w:val="29"/>
          <w:rFonts w:ascii="方正小标宋简体" w:hAnsi="方正小标宋简体" w:eastAsia="方正小标宋简体" w:cs="方正小标宋简体"/>
          <w:b w:val="0"/>
        </w:rPr>
      </w:pPr>
      <w:bookmarkStart w:id="76" w:name="_Toc15377226"/>
      <w:r>
        <w:rPr>
          <w:rFonts w:ascii="宋体"/>
          <w:b/>
          <w:color w:val="000000"/>
          <w:sz w:val="44"/>
          <w:szCs w:val="44"/>
        </w:rPr>
        <w:br w:type="page"/>
      </w:r>
      <w:bookmarkStart w:id="77" w:name="_Toc15396614"/>
      <w:bookmarkStart w:id="78" w:name="_Toc3807"/>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四部分 附件</w:t>
      </w:r>
      <w:bookmarkEnd w:id="77"/>
      <w:bookmarkEnd w:id="78"/>
    </w:p>
    <w:p>
      <w:pPr>
        <w:pStyle w:val="4"/>
        <w:spacing w:line="560" w:lineRule="exact"/>
        <w:rPr>
          <w:rFonts w:ascii="方正小标宋简体" w:hAnsi="方正小标宋简体" w:eastAsia="方正小标宋简体" w:cs="方正小标宋简体"/>
        </w:rPr>
      </w:pPr>
      <w:bookmarkStart w:id="79" w:name="_Toc30708"/>
      <w:bookmarkStart w:id="80" w:name="_Toc16086"/>
      <w:r>
        <w:rPr>
          <w:rFonts w:hint="eastAsia" w:ascii="黑体" w:hAnsi="黑体" w:eastAsia="黑体" w:cs="黑体"/>
          <w:b w:val="0"/>
          <w:bCs w:val="0"/>
        </w:rPr>
        <w:t>附件1</w:t>
      </w:r>
      <w:bookmarkEnd w:id="79"/>
      <w:bookmarkEnd w:id="80"/>
    </w:p>
    <w:p>
      <w:pPr>
        <w:pStyle w:val="38"/>
        <w:spacing w:line="560" w:lineRule="exact"/>
        <w:rPr>
          <w:shd w:val="clear" w:color="auto" w:fill="FFFFFF"/>
        </w:rPr>
      </w:pPr>
      <w:r>
        <w:rPr>
          <w:rFonts w:hint="eastAsia"/>
          <w:shd w:val="clear" w:color="auto" w:fill="FFFFFF"/>
        </w:rPr>
        <w:t>乐山高新技术产业开发区土地储备中心</w:t>
      </w:r>
    </w:p>
    <w:p>
      <w:pPr>
        <w:pStyle w:val="38"/>
        <w:spacing w:line="560" w:lineRule="exact"/>
        <w:rPr>
          <w:shd w:val="clear" w:color="auto" w:fill="FFFFFF"/>
        </w:rPr>
      </w:pPr>
      <w:r>
        <w:rPr>
          <w:rFonts w:hint="eastAsia"/>
          <w:shd w:val="clear" w:color="auto" w:fill="FFFFFF"/>
        </w:rPr>
        <w:t>整体支出绩效报告</w:t>
      </w:r>
    </w:p>
    <w:p/>
    <w:p>
      <w:pPr>
        <w:pStyle w:val="38"/>
        <w:spacing w:line="560" w:lineRule="exact"/>
        <w:jc w:val="both"/>
        <w:rPr>
          <w:rFonts w:ascii="黑体" w:hAnsi="黑体" w:eastAsia="黑体" w:cs="黑体"/>
          <w:sz w:val="32"/>
          <w:szCs w:val="32"/>
          <w:shd w:val="clear" w:color="auto" w:fill="FFFFFF"/>
          <w:lang w:val="zh-CN"/>
        </w:rPr>
      </w:pPr>
      <w:r>
        <w:rPr>
          <w:rFonts w:hint="eastAsia" w:ascii="黑体" w:hAnsi="黑体" w:eastAsia="黑体" w:cs="黑体"/>
          <w:sz w:val="32"/>
          <w:szCs w:val="32"/>
          <w:shd w:val="clear" w:color="auto" w:fill="FFFFFF"/>
          <w:lang w:val="zh-CN"/>
        </w:rPr>
        <w:t>一、单位概况</w:t>
      </w:r>
    </w:p>
    <w:p>
      <w:pPr>
        <w:pStyle w:val="38"/>
        <w:spacing w:line="560" w:lineRule="exact"/>
        <w:ind w:firstLine="640" w:firstLineChars="200"/>
        <w:jc w:val="both"/>
        <w:rPr>
          <w:sz w:val="32"/>
          <w:szCs w:val="32"/>
          <w:shd w:val="clear" w:color="auto" w:fill="FFFFFF"/>
        </w:rPr>
      </w:pPr>
      <w:r>
        <w:rPr>
          <w:rFonts w:hint="eastAsia" w:ascii="楷体_GB2312" w:hAnsi="楷体_GB2312" w:eastAsia="楷体_GB2312" w:cs="楷体_GB2312"/>
          <w:sz w:val="32"/>
          <w:szCs w:val="32"/>
          <w:shd w:val="clear" w:color="auto" w:fill="FFFFFF"/>
          <w:lang w:val="zh-CN"/>
        </w:rPr>
        <w:t>（一）</w:t>
      </w:r>
      <w:r>
        <w:rPr>
          <w:rFonts w:hint="eastAsia" w:ascii="楷体_GB2312" w:hAnsi="楷体_GB2312" w:eastAsia="楷体_GB2312" w:cs="楷体_GB2312"/>
          <w:sz w:val="32"/>
          <w:szCs w:val="32"/>
          <w:shd w:val="clear" w:color="auto" w:fill="FFFFFF"/>
        </w:rPr>
        <w:t>机构组成。</w:t>
      </w:r>
      <w:r>
        <w:rPr>
          <w:rFonts w:hint="eastAsia" w:ascii="仿宋_GB2312" w:hAnsi="仿宋" w:eastAsia="仿宋_GB2312"/>
          <w:bCs/>
          <w:color w:val="000000"/>
          <w:kern w:val="0"/>
          <w:sz w:val="32"/>
          <w:szCs w:val="32"/>
        </w:rPr>
        <w:t>乐山高新技术产业开发区土地储备中心（以下简称：高新区土地储备中心）属于高新区一级预算单位，参照其他事业单位管理办法进行管理，无下属二级预算单位。</w:t>
      </w:r>
    </w:p>
    <w:p>
      <w:pPr>
        <w:pStyle w:val="36"/>
        <w:numPr>
          <w:ilvl w:val="0"/>
          <w:numId w:val="0"/>
        </w:numPr>
        <w:spacing w:line="560" w:lineRule="exact"/>
        <w:ind w:firstLine="640" w:firstLineChars="200"/>
        <w:outlineLvl w:val="9"/>
      </w:pPr>
      <w:r>
        <w:rPr>
          <w:rFonts w:hint="eastAsia"/>
          <w:shd w:val="clear" w:color="auto" w:fill="FFFFFF"/>
        </w:rPr>
        <w:t>（二）机构职能。</w:t>
      </w:r>
      <w:r>
        <w:rPr>
          <w:rFonts w:hint="eastAsia" w:ascii="仿宋_GB2312" w:hAnsi="仿宋" w:eastAsia="仿宋_GB2312"/>
          <w:bCs/>
          <w:color w:val="000000"/>
          <w:kern w:val="0"/>
          <w:szCs w:val="32"/>
          <w:lang w:val="en-US"/>
        </w:rPr>
        <w:t>高新区土地储备中心主要负责：做好高新区土地储备工作，并负责园区基础设施建设和维护</w:t>
      </w:r>
      <w:r>
        <w:rPr>
          <w:rFonts w:hint="eastAsia" w:hAnsi="仿宋"/>
          <w:bCs/>
          <w:color w:val="000000"/>
          <w:kern w:val="0"/>
          <w:szCs w:val="32"/>
          <w:lang w:val="en-US"/>
        </w:rPr>
        <w:t>。</w:t>
      </w:r>
      <w:r>
        <w:rPr>
          <w:rFonts w:hint="eastAsia" w:ascii="仿宋_GB2312" w:hAnsi="仿宋" w:eastAsia="仿宋_GB2312"/>
          <w:bCs/>
          <w:color w:val="000000"/>
          <w:kern w:val="0"/>
          <w:szCs w:val="32"/>
          <w:lang w:val="en-US"/>
        </w:rPr>
        <w:t>促进高新区的建设和发展，负责高新区内土地的收回、收购、置换、征用并进行前期开发、整理、储备等工作，并承担党工委、管委会交办的其他工作任务。</w:t>
      </w:r>
    </w:p>
    <w:p>
      <w:pPr>
        <w:pStyle w:val="36"/>
        <w:numPr>
          <w:ilvl w:val="0"/>
          <w:numId w:val="0"/>
        </w:numPr>
        <w:spacing w:line="560" w:lineRule="exact"/>
        <w:ind w:firstLine="640" w:firstLineChars="200"/>
        <w:outlineLvl w:val="9"/>
        <w:rPr>
          <w:szCs w:val="32"/>
          <w:shd w:val="clear" w:color="auto" w:fill="FFFFFF"/>
        </w:rPr>
      </w:pPr>
      <w:r>
        <w:rPr>
          <w:rFonts w:hint="eastAsia"/>
          <w:shd w:val="clear" w:color="auto" w:fill="FFFFFF"/>
        </w:rPr>
        <w:t>（三）人员概况。</w:t>
      </w:r>
      <w:r>
        <w:rPr>
          <w:rFonts w:hint="eastAsia" w:ascii="仿宋_GB2312" w:hAnsi="仿宋_GB2312" w:eastAsia="仿宋_GB2312" w:cs="仿宋_GB2312"/>
          <w:szCs w:val="32"/>
        </w:rPr>
        <w:t>20</w:t>
      </w:r>
      <w:r>
        <w:rPr>
          <w:rFonts w:hint="eastAsia" w:ascii="仿宋_GB2312" w:hAnsi="仿宋_GB2312" w:eastAsia="仿宋_GB2312" w:cs="仿宋_GB2312"/>
          <w:szCs w:val="32"/>
          <w:lang w:val="en-US"/>
        </w:rPr>
        <w:t>20</w:t>
      </w:r>
      <w:r>
        <w:rPr>
          <w:rFonts w:hint="eastAsia" w:ascii="仿宋_GB2312" w:hAnsi="仿宋_GB2312" w:eastAsia="仿宋_GB2312" w:cs="仿宋_GB2312"/>
          <w:szCs w:val="32"/>
        </w:rPr>
        <w:t>年编制人数为</w:t>
      </w:r>
      <w:r>
        <w:rPr>
          <w:rFonts w:hint="eastAsia" w:ascii="仿宋_GB2312" w:hAnsi="仿宋_GB2312" w:eastAsia="仿宋_GB2312" w:cs="仿宋_GB2312"/>
          <w:szCs w:val="32"/>
          <w:lang w:val="en-US"/>
        </w:rPr>
        <w:t>7</w:t>
      </w:r>
      <w:r>
        <w:rPr>
          <w:rFonts w:hint="eastAsia" w:ascii="仿宋_GB2312" w:hAnsi="仿宋_GB2312" w:eastAsia="仿宋_GB2312" w:cs="仿宋_GB2312"/>
          <w:szCs w:val="32"/>
        </w:rPr>
        <w:t>人，其中行政编制为0人，事业编制为</w:t>
      </w:r>
      <w:r>
        <w:rPr>
          <w:rFonts w:hint="eastAsia" w:ascii="仿宋_GB2312" w:hAnsi="仿宋_GB2312" w:eastAsia="仿宋_GB2312" w:cs="仿宋_GB2312"/>
          <w:szCs w:val="32"/>
          <w:lang w:val="en-US"/>
        </w:rPr>
        <w:t>7</w:t>
      </w:r>
      <w:r>
        <w:rPr>
          <w:rFonts w:hint="eastAsia" w:ascii="仿宋_GB2312" w:hAnsi="仿宋_GB2312" w:eastAsia="仿宋_GB2312" w:cs="仿宋_GB2312"/>
          <w:szCs w:val="32"/>
        </w:rPr>
        <w:t>人。年末实有人数共有</w:t>
      </w:r>
      <w:r>
        <w:rPr>
          <w:rFonts w:hint="eastAsia" w:ascii="仿宋_GB2312" w:hAnsi="仿宋_GB2312" w:eastAsia="仿宋_GB2312" w:cs="仿宋_GB2312"/>
          <w:szCs w:val="32"/>
          <w:lang w:val="en-US"/>
        </w:rPr>
        <w:t>7</w:t>
      </w:r>
      <w:r>
        <w:rPr>
          <w:rFonts w:hint="eastAsia" w:ascii="仿宋_GB2312" w:hAnsi="仿宋_GB2312" w:eastAsia="仿宋_GB2312" w:cs="仿宋_GB2312"/>
          <w:szCs w:val="32"/>
        </w:rPr>
        <w:t>人，实有行政人员为0人，实有事业人员为</w:t>
      </w:r>
      <w:r>
        <w:rPr>
          <w:rFonts w:hint="eastAsia" w:ascii="仿宋_GB2312" w:hAnsi="仿宋_GB2312" w:eastAsia="仿宋_GB2312" w:cs="仿宋_GB2312"/>
          <w:szCs w:val="32"/>
          <w:lang w:val="en-US"/>
        </w:rPr>
        <w:t>7</w:t>
      </w:r>
      <w:r>
        <w:rPr>
          <w:rFonts w:hint="eastAsia" w:ascii="仿宋_GB2312" w:hAnsi="仿宋_GB2312" w:eastAsia="仿宋_GB2312" w:cs="仿宋_GB2312"/>
          <w:szCs w:val="32"/>
        </w:rPr>
        <w:t>人，实有聘用人员</w:t>
      </w:r>
      <w:r>
        <w:rPr>
          <w:rFonts w:hint="eastAsia" w:ascii="仿宋_GB2312" w:hAnsi="仿宋_GB2312" w:eastAsia="仿宋_GB2312" w:cs="仿宋_GB2312"/>
          <w:szCs w:val="32"/>
          <w:lang w:val="en-US"/>
        </w:rPr>
        <w:t>0</w:t>
      </w:r>
      <w:r>
        <w:rPr>
          <w:rFonts w:hint="eastAsia" w:ascii="仿宋_GB2312" w:hAnsi="仿宋_GB2312" w:eastAsia="仿宋_GB2312" w:cs="仿宋_GB2312"/>
          <w:szCs w:val="32"/>
        </w:rPr>
        <w:t>人，实有企业混岗人员</w:t>
      </w:r>
      <w:r>
        <w:rPr>
          <w:rFonts w:hint="eastAsia" w:ascii="仿宋_GB2312" w:hAnsi="仿宋_GB2312" w:eastAsia="仿宋_GB2312" w:cs="仿宋_GB2312"/>
          <w:szCs w:val="32"/>
          <w:lang w:val="en-US"/>
        </w:rPr>
        <w:t>0</w:t>
      </w:r>
      <w:r>
        <w:rPr>
          <w:rFonts w:hint="eastAsia" w:ascii="仿宋_GB2312" w:hAnsi="仿宋_GB2312" w:eastAsia="仿宋_GB2312" w:cs="仿宋_GB2312"/>
          <w:szCs w:val="32"/>
        </w:rPr>
        <w:t>人</w:t>
      </w:r>
      <w:r>
        <w:rPr>
          <w:rFonts w:hint="eastAsia" w:ascii="Calibri" w:eastAsia="仿宋_GB2312"/>
          <w:szCs w:val="32"/>
        </w:rPr>
        <w:t>。</w:t>
      </w:r>
    </w:p>
    <w:p>
      <w:pPr>
        <w:pStyle w:val="36"/>
        <w:numPr>
          <w:ilvl w:val="0"/>
          <w:numId w:val="0"/>
        </w:numPr>
        <w:spacing w:line="560" w:lineRule="exact"/>
        <w:outlineLvl w:val="9"/>
        <w:rPr>
          <w:rFonts w:ascii="黑体" w:hAnsi="黑体" w:eastAsia="黑体" w:cs="黑体"/>
          <w:shd w:val="clear" w:color="auto" w:fill="FFFFFF"/>
        </w:rPr>
      </w:pPr>
      <w:r>
        <w:rPr>
          <w:rFonts w:hint="eastAsia" w:ascii="黑体" w:hAnsi="黑体" w:eastAsia="黑体" w:cs="黑体"/>
          <w:shd w:val="clear" w:color="auto" w:fill="FFFFFF"/>
        </w:rPr>
        <w:t>二、部门财政资金收支情况</w:t>
      </w:r>
    </w:p>
    <w:p>
      <w:pPr>
        <w:pStyle w:val="36"/>
        <w:numPr>
          <w:ilvl w:val="0"/>
          <w:numId w:val="0"/>
        </w:numPr>
        <w:spacing w:line="560" w:lineRule="exact"/>
        <w:ind w:firstLine="640" w:firstLineChars="200"/>
        <w:outlineLvl w:val="9"/>
        <w:rPr>
          <w:szCs w:val="32"/>
          <w:shd w:val="clear" w:color="auto" w:fill="FFFFFF"/>
        </w:rPr>
      </w:pPr>
      <w:r>
        <w:rPr>
          <w:rFonts w:hint="eastAsia" w:hAnsi="楷体_GB2312" w:cs="楷体_GB2312"/>
          <w:shd w:val="clear" w:color="auto" w:fill="FFFFFF"/>
        </w:rPr>
        <w:t>（一）部门财政资金收入情况。</w:t>
      </w:r>
      <w:r>
        <w:rPr>
          <w:rFonts w:hint="eastAsia" w:ascii="仿宋_GB2312" w:eastAsia="仿宋_GB2312"/>
          <w:szCs w:val="32"/>
        </w:rPr>
        <w:t>本单位20</w:t>
      </w:r>
      <w:r>
        <w:rPr>
          <w:rFonts w:hint="eastAsia" w:ascii="仿宋_GB2312" w:eastAsia="仿宋_GB2312"/>
          <w:szCs w:val="32"/>
          <w:lang w:val="en-US"/>
        </w:rPr>
        <w:t>20</w:t>
      </w:r>
      <w:r>
        <w:rPr>
          <w:rFonts w:hint="eastAsia" w:ascii="仿宋_GB2312" w:eastAsia="仿宋_GB2312"/>
          <w:szCs w:val="32"/>
        </w:rPr>
        <w:t>年财政总收入</w:t>
      </w:r>
      <w:r>
        <w:rPr>
          <w:rFonts w:hint="eastAsia" w:ascii="仿宋_GB2312" w:eastAsia="仿宋_GB2312"/>
          <w:szCs w:val="32"/>
          <w:lang w:val="en-US"/>
        </w:rPr>
        <w:t>68,913.59万</w:t>
      </w:r>
      <w:r>
        <w:rPr>
          <w:rFonts w:hint="eastAsia" w:ascii="仿宋_GB2312" w:eastAsia="仿宋_GB2312"/>
          <w:szCs w:val="32"/>
        </w:rPr>
        <w:t>元，其中财政拨款收入</w:t>
      </w:r>
      <w:r>
        <w:rPr>
          <w:rFonts w:hint="eastAsia" w:ascii="仿宋_GB2312" w:eastAsia="仿宋_GB2312"/>
          <w:szCs w:val="32"/>
          <w:lang w:val="en-US"/>
        </w:rPr>
        <w:t>68,913.59万</w:t>
      </w:r>
      <w:r>
        <w:rPr>
          <w:rFonts w:hint="eastAsia" w:ascii="仿宋_GB2312" w:eastAsia="仿宋_GB2312"/>
          <w:szCs w:val="32"/>
        </w:rPr>
        <w:t>元；</w:t>
      </w:r>
      <w:r>
        <w:rPr>
          <w:rFonts w:hint="eastAsia" w:ascii="仿宋_GB2312" w:eastAsia="仿宋_GB2312"/>
          <w:szCs w:val="32"/>
          <w:lang w:val="en-US"/>
        </w:rPr>
        <w:t>其他收入0万元</w:t>
      </w:r>
      <w:r>
        <w:rPr>
          <w:rFonts w:hint="eastAsia" w:ascii="仿宋_GB2312" w:eastAsia="仿宋_GB2312"/>
          <w:szCs w:val="32"/>
        </w:rPr>
        <w:t>。</w:t>
      </w:r>
    </w:p>
    <w:p>
      <w:pPr>
        <w:pStyle w:val="36"/>
        <w:numPr>
          <w:ilvl w:val="0"/>
          <w:numId w:val="0"/>
        </w:numPr>
        <w:spacing w:line="560" w:lineRule="exact"/>
        <w:ind w:firstLine="640" w:firstLineChars="200"/>
        <w:outlineLvl w:val="9"/>
        <w:rPr>
          <w:shd w:val="clear" w:color="auto" w:fill="FFFFFF"/>
        </w:rPr>
      </w:pPr>
      <w:r>
        <w:rPr>
          <w:rFonts w:hint="eastAsia"/>
          <w:shd w:val="clear" w:color="auto" w:fill="FFFFFF"/>
        </w:rPr>
        <w:t>（二）部门财政资金支出情况。</w:t>
      </w:r>
      <w:r>
        <w:rPr>
          <w:rFonts w:hint="eastAsia" w:ascii="仿宋_GB2312" w:eastAsia="仿宋_GB2312"/>
          <w:szCs w:val="32"/>
        </w:rPr>
        <w:t>本单位20</w:t>
      </w:r>
      <w:r>
        <w:rPr>
          <w:rFonts w:hint="eastAsia" w:ascii="仿宋_GB2312" w:eastAsia="仿宋_GB2312"/>
          <w:szCs w:val="32"/>
          <w:lang w:val="en-US"/>
        </w:rPr>
        <w:t>20</w:t>
      </w:r>
      <w:r>
        <w:rPr>
          <w:rFonts w:hint="eastAsia" w:ascii="仿宋_GB2312" w:eastAsia="仿宋_GB2312"/>
          <w:szCs w:val="32"/>
        </w:rPr>
        <w:t>年</w:t>
      </w:r>
      <w:r>
        <w:rPr>
          <w:rFonts w:hint="eastAsia" w:ascii="仿宋_GB2312" w:eastAsia="仿宋_GB2312"/>
          <w:szCs w:val="32"/>
          <w:lang w:val="en-US"/>
        </w:rPr>
        <w:t>财政</w:t>
      </w:r>
      <w:r>
        <w:rPr>
          <w:rFonts w:hint="eastAsia" w:ascii="仿宋_GB2312" w:eastAsia="仿宋_GB2312"/>
          <w:szCs w:val="32"/>
        </w:rPr>
        <w:t>总支</w:t>
      </w:r>
      <w:r>
        <w:rPr>
          <w:rFonts w:hint="eastAsia" w:ascii="仿宋_GB2312" w:eastAsia="仿宋_GB2312"/>
          <w:szCs w:val="32"/>
          <w:lang w:val="en-US"/>
        </w:rPr>
        <w:t>出73,872.38万</w:t>
      </w:r>
      <w:r>
        <w:rPr>
          <w:rFonts w:hint="eastAsia" w:ascii="仿宋_GB2312" w:eastAsia="仿宋_GB2312"/>
          <w:szCs w:val="32"/>
        </w:rPr>
        <w:t>元，其中</w:t>
      </w:r>
      <w:r>
        <w:rPr>
          <w:rFonts w:hint="eastAsia" w:ascii="仿宋_GB2312" w:eastAsia="仿宋_GB2312"/>
          <w:szCs w:val="32"/>
          <w:lang w:val="en-US"/>
        </w:rPr>
        <w:t>社会保障支出4,958.78万元；城乡社区支出68,861.47万元；自然资源海洋气象等支出52.12万元</w:t>
      </w:r>
      <w:r>
        <w:rPr>
          <w:rFonts w:hint="eastAsia" w:ascii="仿宋_GB2312" w:eastAsia="仿宋_GB2312"/>
          <w:szCs w:val="32"/>
        </w:rPr>
        <w:t>。</w:t>
      </w:r>
    </w:p>
    <w:p>
      <w:pPr>
        <w:pStyle w:val="36"/>
        <w:numPr>
          <w:ilvl w:val="0"/>
          <w:numId w:val="0"/>
        </w:numPr>
        <w:spacing w:line="560" w:lineRule="exact"/>
        <w:outlineLvl w:val="9"/>
        <w:rPr>
          <w:rFonts w:ascii="黑体" w:eastAsia="黑体"/>
          <w:szCs w:val="32"/>
          <w:shd w:val="clear" w:color="auto" w:fill="FFFFFF"/>
        </w:rPr>
      </w:pPr>
      <w:r>
        <w:rPr>
          <w:rFonts w:hint="eastAsia" w:ascii="黑体" w:eastAsia="黑体"/>
          <w:szCs w:val="32"/>
          <w:shd w:val="clear" w:color="auto" w:fill="FFFFFF"/>
        </w:rPr>
        <w:t>三、部门财政支出管理情况</w:t>
      </w:r>
    </w:p>
    <w:p>
      <w:pPr>
        <w:pStyle w:val="36"/>
        <w:numPr>
          <w:ilvl w:val="0"/>
          <w:numId w:val="0"/>
        </w:numPr>
        <w:spacing w:line="560" w:lineRule="exact"/>
        <w:outlineLvl w:val="9"/>
        <w:rPr>
          <w:shd w:val="clear" w:color="auto" w:fill="FFFFFF"/>
        </w:rPr>
      </w:pPr>
      <w:r>
        <w:rPr>
          <w:rFonts w:hint="eastAsia"/>
          <w:shd w:val="clear" w:color="auto" w:fill="FFFFFF"/>
        </w:rPr>
        <w:t>（一）预决算编制情况。</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1.</w:t>
      </w:r>
      <w:r>
        <w:rPr>
          <w:rFonts w:hint="eastAsia" w:ascii="仿宋_GB2312" w:eastAsia="仿宋_GB2312"/>
          <w:szCs w:val="32"/>
        </w:rPr>
        <w:t>本单位严格根据国家有关方针、政策，按照上级下达的事业计划、任务，本着收支平衡的原则，编制预算。</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2.</w:t>
      </w:r>
      <w:r>
        <w:rPr>
          <w:rFonts w:hint="eastAsia" w:ascii="仿宋_GB2312" w:eastAsia="仿宋_GB2312"/>
          <w:szCs w:val="32"/>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3.</w:t>
      </w:r>
      <w:r>
        <w:rPr>
          <w:rFonts w:hint="eastAsia" w:ascii="仿宋_GB2312" w:eastAsia="仿宋_GB2312"/>
          <w:szCs w:val="32"/>
        </w:rPr>
        <w:t>本单位在预决算编制过程中全面实行项目及总体绩效评价目标填报。</w:t>
      </w:r>
    </w:p>
    <w:p>
      <w:pPr>
        <w:pStyle w:val="36"/>
        <w:numPr>
          <w:ilvl w:val="0"/>
          <w:numId w:val="0"/>
        </w:numPr>
        <w:spacing w:line="560" w:lineRule="exact"/>
        <w:outlineLvl w:val="9"/>
        <w:rPr>
          <w:shd w:val="clear" w:color="auto" w:fill="FFFFFF"/>
        </w:rPr>
      </w:pPr>
      <w:r>
        <w:rPr>
          <w:rFonts w:hint="eastAsia"/>
          <w:shd w:val="clear" w:color="auto" w:fill="FFFFFF"/>
        </w:rPr>
        <w:t>（二）执行管理情况</w:t>
      </w:r>
    </w:p>
    <w:p>
      <w:pPr>
        <w:pStyle w:val="36"/>
        <w:numPr>
          <w:ilvl w:val="0"/>
          <w:numId w:val="0"/>
        </w:numPr>
        <w:spacing w:line="560" w:lineRule="exact"/>
        <w:ind w:firstLine="640" w:firstLineChars="200"/>
        <w:outlineLvl w:val="9"/>
        <w:rPr>
          <w:rFonts w:ascii="仿宋_GB2312" w:hAnsi="仿宋" w:eastAsia="仿宋_GB2312"/>
          <w:szCs w:val="32"/>
          <w:lang w:val="en-US"/>
        </w:rPr>
      </w:pPr>
      <w:r>
        <w:rPr>
          <w:rFonts w:hint="eastAsia" w:ascii="仿宋_GB2312" w:hAnsi="仿宋" w:eastAsia="仿宋_GB2312"/>
          <w:szCs w:val="32"/>
          <w:lang w:val="en-US"/>
        </w:rPr>
        <w:t>1.本单位严格按照预决算管理制度执行，依法依规及时分配上级专项资金，专项资金使用完成情况100%。</w:t>
      </w:r>
    </w:p>
    <w:p>
      <w:pPr>
        <w:pStyle w:val="36"/>
        <w:numPr>
          <w:ilvl w:val="0"/>
          <w:numId w:val="0"/>
        </w:numPr>
        <w:spacing w:line="560" w:lineRule="exact"/>
        <w:ind w:firstLine="640" w:firstLineChars="200"/>
        <w:outlineLvl w:val="9"/>
        <w:rPr>
          <w:rFonts w:ascii="仿宋_GB2312" w:hAnsi="仿宋" w:eastAsia="仿宋_GB2312"/>
          <w:szCs w:val="32"/>
          <w:lang w:val="en-US"/>
        </w:rPr>
      </w:pPr>
      <w:r>
        <w:rPr>
          <w:rFonts w:hint="eastAsia" w:ascii="仿宋_GB2312" w:hAnsi="仿宋" w:eastAsia="仿宋_GB2312"/>
          <w:szCs w:val="32"/>
          <w:lang w:val="en-US"/>
        </w:rPr>
        <w:t>2.严格按照中央八项规定</w:t>
      </w:r>
      <w:r>
        <w:rPr>
          <w:rFonts w:hint="eastAsia" w:ascii="仿宋_GB2312" w:hAnsi="仿宋" w:eastAsia="仿宋_GB2312"/>
          <w:szCs w:val="32"/>
          <w:lang w:val="en-US" w:eastAsia="zh-CN"/>
        </w:rPr>
        <w:t>精神</w:t>
      </w:r>
      <w:r>
        <w:rPr>
          <w:rFonts w:hint="eastAsia" w:ascii="仿宋_GB2312" w:hAnsi="仿宋" w:eastAsia="仿宋_GB2312"/>
          <w:szCs w:val="32"/>
          <w:lang w:val="en-US"/>
        </w:rPr>
        <w:t>等政策文件的规定开展日常工作。“三公”经费零支出。</w:t>
      </w:r>
    </w:p>
    <w:p>
      <w:pPr>
        <w:pStyle w:val="36"/>
        <w:numPr>
          <w:ilvl w:val="0"/>
          <w:numId w:val="0"/>
        </w:numPr>
        <w:spacing w:line="560" w:lineRule="exact"/>
        <w:ind w:firstLine="640" w:firstLineChars="200"/>
        <w:outlineLvl w:val="9"/>
        <w:rPr>
          <w:rFonts w:ascii="仿宋_GB2312" w:hAnsi="仿宋" w:eastAsia="仿宋_GB2312"/>
          <w:szCs w:val="32"/>
          <w:lang w:val="en-US"/>
        </w:rPr>
      </w:pPr>
      <w:r>
        <w:rPr>
          <w:rFonts w:hint="eastAsia" w:ascii="仿宋_GB2312" w:hAnsi="仿宋" w:eastAsia="仿宋_GB2312"/>
          <w:szCs w:val="32"/>
          <w:lang w:val="en-US"/>
        </w:rPr>
        <w:t>3.部门预算执行进度偏慢。因受年度项目完整性影响，项目预算执行有下半年集中支付的现象。</w:t>
      </w:r>
    </w:p>
    <w:p>
      <w:pPr>
        <w:pStyle w:val="36"/>
        <w:numPr>
          <w:ilvl w:val="0"/>
          <w:numId w:val="0"/>
        </w:numPr>
        <w:spacing w:line="560" w:lineRule="exact"/>
        <w:outlineLvl w:val="9"/>
        <w:rPr>
          <w:rFonts w:ascii="仿宋_GB2312"/>
          <w:sz w:val="30"/>
          <w:szCs w:val="30"/>
        </w:rPr>
      </w:pPr>
      <w:r>
        <w:rPr>
          <w:rFonts w:hint="eastAsia" w:ascii="仿宋_GB2312"/>
          <w:sz w:val="30"/>
          <w:szCs w:val="30"/>
        </w:rPr>
        <w:t>（三）综合管理情况</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1.</w:t>
      </w:r>
      <w:r>
        <w:rPr>
          <w:rFonts w:hint="eastAsia" w:ascii="仿宋_GB2312" w:eastAsia="仿宋_GB2312"/>
          <w:szCs w:val="32"/>
        </w:rPr>
        <w:t>严格按照政府采购相关制度要求，事前编制采购预算，事中编制采购计划，严控采购流程和招投标工作。</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2.</w:t>
      </w:r>
      <w:r>
        <w:rPr>
          <w:rFonts w:hint="eastAsia" w:ascii="仿宋_GB2312" w:eastAsia="仿宋_GB2312"/>
          <w:szCs w:val="32"/>
        </w:rPr>
        <w:t>建立完善的资产管理制度，资产全</w:t>
      </w:r>
      <w:bookmarkStart w:id="108" w:name="_GoBack"/>
      <w:bookmarkEnd w:id="108"/>
      <w:r>
        <w:rPr>
          <w:rFonts w:hint="eastAsia" w:ascii="仿宋_GB2312" w:eastAsia="仿宋_GB2312"/>
          <w:szCs w:val="32"/>
        </w:rPr>
        <w:t>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3.</w:t>
      </w:r>
      <w:r>
        <w:rPr>
          <w:rFonts w:hint="eastAsia" w:ascii="仿宋_GB2312" w:eastAsia="仿宋_GB2312"/>
          <w:szCs w:val="32"/>
        </w:rPr>
        <w:t>本单位内部建立专门的管理制度规范内部控制工作的开展，包括岗位人员责任岗位分离制度、收入支出管理制度、财务档案管理、票据管理、财务印章管理、专项资金管理制度办法等。</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4.</w:t>
      </w:r>
      <w:r>
        <w:rPr>
          <w:rFonts w:hint="eastAsia" w:ascii="仿宋_GB2312" w:eastAsia="仿宋_GB2312"/>
          <w:szCs w:val="32"/>
        </w:rPr>
        <w:t>本单位严格执行预决算公开制度。</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5.</w:t>
      </w:r>
      <w:r>
        <w:rPr>
          <w:rFonts w:hint="eastAsia" w:ascii="仿宋_GB2312" w:eastAsia="仿宋_GB2312"/>
          <w:szCs w:val="32"/>
        </w:rPr>
        <w:t>本单位在预决算编制过程中全面实行项目及总体绩效评价目标填报及按要求报送绩效自评报告。</w:t>
      </w:r>
    </w:p>
    <w:p>
      <w:pPr>
        <w:pStyle w:val="36"/>
        <w:numPr>
          <w:ilvl w:val="0"/>
          <w:numId w:val="0"/>
        </w:numPr>
        <w:spacing w:line="560" w:lineRule="exact"/>
        <w:ind w:firstLine="640" w:firstLineChars="200"/>
        <w:outlineLvl w:val="9"/>
        <w:rPr>
          <w:rFonts w:ascii="仿宋_GB2312" w:eastAsia="仿宋_GB2312"/>
          <w:szCs w:val="32"/>
        </w:rPr>
      </w:pPr>
      <w:r>
        <w:rPr>
          <w:rFonts w:hint="eastAsia" w:ascii="仿宋_GB2312" w:eastAsia="仿宋_GB2312"/>
          <w:szCs w:val="32"/>
          <w:lang w:val="en-US"/>
        </w:rPr>
        <w:t>6.</w:t>
      </w:r>
      <w:r>
        <w:rPr>
          <w:rFonts w:hint="eastAsia" w:ascii="仿宋_GB2312" w:eastAsia="仿宋_GB2312"/>
          <w:szCs w:val="32"/>
        </w:rPr>
        <w:t>本单位全面接受财政监督检查，在20</w:t>
      </w:r>
      <w:r>
        <w:rPr>
          <w:rFonts w:hint="eastAsia" w:ascii="仿宋_GB2312" w:eastAsia="仿宋_GB2312"/>
          <w:szCs w:val="32"/>
          <w:lang w:val="en-US"/>
        </w:rPr>
        <w:t>20</w:t>
      </w:r>
      <w:r>
        <w:rPr>
          <w:rFonts w:hint="eastAsia" w:ascii="仿宋_GB2312" w:eastAsia="仿宋_GB2312"/>
          <w:szCs w:val="32"/>
        </w:rPr>
        <w:t>年的各项检查中无违规违纪现象。</w:t>
      </w:r>
    </w:p>
    <w:p>
      <w:pPr>
        <w:pStyle w:val="36"/>
        <w:numPr>
          <w:ilvl w:val="0"/>
          <w:numId w:val="0"/>
        </w:numPr>
        <w:spacing w:line="560" w:lineRule="exact"/>
        <w:outlineLvl w:val="9"/>
      </w:pPr>
      <w:r>
        <w:rPr>
          <w:rFonts w:hint="eastAsia" w:ascii="仿宋_GB2312" w:eastAsia="仿宋_GB2312"/>
          <w:szCs w:val="32"/>
        </w:rPr>
        <w:t>（四）整体绩效</w:t>
      </w:r>
      <w:r>
        <w:rPr>
          <w:rFonts w:hint="eastAsia" w:ascii="仿宋_GB2312"/>
          <w:sz w:val="30"/>
          <w:szCs w:val="30"/>
        </w:rPr>
        <w:t>。</w:t>
      </w:r>
    </w:p>
    <w:p>
      <w:pPr>
        <w:pStyle w:val="7"/>
        <w:adjustRightInd w:val="0"/>
        <w:snapToGrid w:val="0"/>
        <w:spacing w:beforeLines="0" w:line="560" w:lineRule="exact"/>
        <w:ind w:firstLine="675" w:firstLineChars="210"/>
        <w:rPr>
          <w:rFonts w:ascii="仿宋" w:hAnsi="仿宋" w:eastAsia="仿宋"/>
          <w:bCs/>
          <w:color w:val="000000"/>
          <w:sz w:val="32"/>
          <w:szCs w:val="32"/>
        </w:rPr>
      </w:pPr>
      <w:r>
        <w:rPr>
          <w:rFonts w:hint="eastAsia" w:hAnsi="仿宋"/>
          <w:b/>
          <w:sz w:val="32"/>
          <w:szCs w:val="32"/>
        </w:rPr>
        <w:t>一是</w:t>
      </w:r>
      <w:r>
        <w:rPr>
          <w:rFonts w:hint="eastAsia" w:hAnsi="仿宋"/>
          <w:sz w:val="32"/>
          <w:szCs w:val="32"/>
        </w:rPr>
        <w:t>制定印发乐山高新区2020年-2020度企业土地腾退工作计划。</w:t>
      </w:r>
      <w:r>
        <w:rPr>
          <w:rFonts w:hint="eastAsia" w:hAnsi="仿宋"/>
          <w:b/>
          <w:sz w:val="32"/>
          <w:szCs w:val="32"/>
        </w:rPr>
        <w:t>二是</w:t>
      </w:r>
      <w:r>
        <w:rPr>
          <w:rFonts w:hint="eastAsia" w:hAnsi="仿宋"/>
          <w:bCs/>
          <w:sz w:val="32"/>
          <w:szCs w:val="32"/>
        </w:rPr>
        <w:t>完善土地腾退收储流程，</w:t>
      </w:r>
      <w:r>
        <w:rPr>
          <w:rFonts w:hint="eastAsia" w:hAnsi="仿宋"/>
          <w:b/>
          <w:sz w:val="32"/>
          <w:szCs w:val="32"/>
        </w:rPr>
        <w:t>三是</w:t>
      </w:r>
      <w:r>
        <w:rPr>
          <w:rFonts w:hint="eastAsia" w:hAnsi="仿宋"/>
          <w:sz w:val="32"/>
          <w:szCs w:val="32"/>
        </w:rPr>
        <w:t>完成收储土地10宗338.37亩。</w:t>
      </w:r>
      <w:r>
        <w:rPr>
          <w:rFonts w:hint="eastAsia" w:hAnsi="仿宋"/>
          <w:b/>
          <w:sz w:val="32"/>
          <w:szCs w:val="32"/>
        </w:rPr>
        <w:t>四是</w:t>
      </w:r>
      <w:r>
        <w:rPr>
          <w:rFonts w:hint="eastAsia"/>
          <w:sz w:val="32"/>
          <w:szCs w:val="32"/>
        </w:rPr>
        <w:t>已开展收储评估工作的17宗。</w:t>
      </w:r>
      <w:r>
        <w:rPr>
          <w:rFonts w:hint="eastAsia"/>
          <w:b/>
          <w:sz w:val="32"/>
          <w:szCs w:val="32"/>
        </w:rPr>
        <w:t>五是</w:t>
      </w:r>
      <w:r>
        <w:rPr>
          <w:rFonts w:hint="eastAsia"/>
          <w:sz w:val="32"/>
          <w:szCs w:val="32"/>
        </w:rPr>
        <w:t>正在开展收储对接22家企业工作。</w:t>
      </w:r>
      <w:r>
        <w:rPr>
          <w:rFonts w:hint="eastAsia" w:hAnsi="仿宋"/>
          <w:b/>
          <w:bCs/>
          <w:sz w:val="32"/>
          <w:szCs w:val="32"/>
        </w:rPr>
        <w:t>六是</w:t>
      </w:r>
      <w:r>
        <w:rPr>
          <w:rFonts w:hint="eastAsia" w:hAnsi="仿宋"/>
          <w:bCs/>
          <w:sz w:val="32"/>
          <w:szCs w:val="32"/>
        </w:rPr>
        <w:t>支付企业土地收储款39662.93万元</w:t>
      </w:r>
      <w:r>
        <w:rPr>
          <w:rFonts w:hint="eastAsia" w:ascii="仿宋" w:hAnsi="仿宋" w:eastAsia="仿宋"/>
          <w:bCs/>
          <w:color w:val="000000"/>
          <w:sz w:val="32"/>
          <w:szCs w:val="32"/>
        </w:rPr>
        <w:t>。</w:t>
      </w:r>
    </w:p>
    <w:p>
      <w:pPr>
        <w:pStyle w:val="41"/>
        <w:numPr>
          <w:ilvl w:val="0"/>
          <w:numId w:val="9"/>
        </w:numPr>
        <w:spacing w:line="560" w:lineRule="exact"/>
        <w:outlineLvl w:val="9"/>
        <w:rPr>
          <w:shd w:val="clear" w:color="auto" w:fill="FFFFFF"/>
        </w:rPr>
      </w:pPr>
      <w:r>
        <w:rPr>
          <w:rFonts w:hint="eastAsia"/>
          <w:shd w:val="clear" w:color="auto" w:fill="FFFFFF"/>
        </w:rPr>
        <w:t>评价结论及建议</w:t>
      </w:r>
    </w:p>
    <w:p>
      <w:pPr>
        <w:pStyle w:val="36"/>
        <w:numPr>
          <w:ilvl w:val="0"/>
          <w:numId w:val="10"/>
        </w:numPr>
        <w:spacing w:line="560" w:lineRule="exact"/>
        <w:outlineLvl w:val="9"/>
        <w:rPr>
          <w:shd w:val="clear" w:color="auto" w:fill="FFFFFF"/>
        </w:rPr>
      </w:pPr>
      <w:r>
        <w:rPr>
          <w:rFonts w:hint="eastAsia"/>
          <w:shd w:val="clear" w:color="auto" w:fill="FFFFFF"/>
        </w:rPr>
        <w:t>评价结论。</w:t>
      </w:r>
    </w:p>
    <w:p>
      <w:pPr>
        <w:pStyle w:val="37"/>
        <w:spacing w:line="560" w:lineRule="exact"/>
        <w:ind w:firstLine="640"/>
        <w:rPr>
          <w:rFonts w:hAnsi="仿宋"/>
        </w:rPr>
      </w:pPr>
      <w:r>
        <w:rPr>
          <w:rFonts w:hint="eastAsia" w:hAnsi="仿宋"/>
        </w:rPr>
        <w:t>本单位履行职责职能,严格按预算法及高新区管委会的要求编制预决算、按财经法规及制度使用、管理资金,成效明显,主要体现在以下几个方面：</w:t>
      </w:r>
    </w:p>
    <w:p>
      <w:pPr>
        <w:pStyle w:val="37"/>
        <w:spacing w:line="560" w:lineRule="exact"/>
        <w:ind w:firstLine="640"/>
        <w:rPr>
          <w:rFonts w:hAnsi="仿宋"/>
        </w:rPr>
      </w:pPr>
      <w:r>
        <w:rPr>
          <w:rFonts w:hint="eastAsia" w:hAnsi="仿宋"/>
        </w:rPr>
        <w:t>1.资金使用效益合理有效，保障了财政供养人员的日常开支，资金使用无虚列支出及随意使用现象,无大额现金支付现象。</w:t>
      </w:r>
    </w:p>
    <w:p>
      <w:pPr>
        <w:pStyle w:val="37"/>
        <w:spacing w:line="560" w:lineRule="exact"/>
        <w:ind w:firstLine="640"/>
        <w:rPr>
          <w:rFonts w:hAnsi="仿宋"/>
        </w:rPr>
      </w:pPr>
      <w:r>
        <w:rPr>
          <w:rFonts w:hint="eastAsia" w:hAnsi="仿宋"/>
        </w:rPr>
        <w:t>2.资金使用社会效益好。</w:t>
      </w:r>
    </w:p>
    <w:p>
      <w:pPr>
        <w:pStyle w:val="37"/>
        <w:spacing w:line="560" w:lineRule="exact"/>
        <w:ind w:firstLine="640"/>
        <w:rPr>
          <w:rFonts w:hAnsi="仿宋"/>
        </w:rPr>
      </w:pPr>
      <w:r>
        <w:rPr>
          <w:rFonts w:hint="eastAsia" w:hAnsi="仿宋"/>
        </w:rPr>
        <w:t>3.根据财政整体支出绩效评价的内容要求，本单位的自查结果为“良”。</w:t>
      </w:r>
    </w:p>
    <w:p>
      <w:pPr>
        <w:pStyle w:val="36"/>
        <w:spacing w:line="560" w:lineRule="exact"/>
        <w:outlineLvl w:val="9"/>
        <w:rPr>
          <w:shd w:val="clear" w:color="auto" w:fill="FFFFFF"/>
        </w:rPr>
      </w:pPr>
      <w:r>
        <w:rPr>
          <w:rFonts w:hint="eastAsia"/>
          <w:shd w:val="clear" w:color="auto" w:fill="FFFFFF"/>
        </w:rPr>
        <w:t>存在问题。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2020年，我中心在资金使用计划上有待进一步加强,要进一步细化预算编制,编制范围尽可能的全面，不漏项。进一步提高预算编制的科学性、合理性、严谨性和可控性。</w:t>
      </w:r>
    </w:p>
    <w:p>
      <w:pPr>
        <w:pStyle w:val="36"/>
        <w:spacing w:line="560" w:lineRule="exact"/>
        <w:outlineLvl w:val="9"/>
        <w:rPr>
          <w:shd w:val="clear" w:color="auto" w:fill="FFFFFF"/>
        </w:rPr>
      </w:pPr>
      <w:r>
        <w:rPr>
          <w:rFonts w:hint="eastAsia"/>
          <w:shd w:val="clear" w:color="auto" w:fill="FFFFFF"/>
        </w:rPr>
        <w:t>改进建议。</w:t>
      </w:r>
    </w:p>
    <w:p>
      <w:pPr>
        <w:pStyle w:val="37"/>
        <w:spacing w:line="560" w:lineRule="exact"/>
        <w:ind w:firstLine="640"/>
        <w:rPr>
          <w:rFonts w:hAnsi="仿宋"/>
        </w:rPr>
      </w:pPr>
      <w:r>
        <w:rPr>
          <w:rFonts w:hint="eastAsia" w:hAnsi="仿宋"/>
        </w:rPr>
        <w:t>在今后的工作一方面要严格优化预算编制，加强预算执行；另一方面要严格落实专项经费使用管理规定，做到专款专用;三是提高我区土地利用率，保障“一总部三基地”项目用地。四是在经费开支上严格按照八项规定执行。</w:t>
      </w:r>
    </w:p>
    <w:p>
      <w:pPr>
        <w:spacing w:line="560" w:lineRule="exact"/>
        <w:ind w:firstLine="640" w:firstLineChars="200"/>
        <w:rPr>
          <w:rFonts w:ascii="仿宋_GB2312" w:hAnsi="仿宋_GB2312" w:eastAsia="仿宋_GB2312" w:cs="仿宋_GB2312"/>
          <w:sz w:val="32"/>
          <w:szCs w:val="32"/>
        </w:rPr>
      </w:pPr>
    </w:p>
    <w:p>
      <w:pPr>
        <w:spacing w:line="560" w:lineRule="exact"/>
      </w:pPr>
    </w:p>
    <w:p>
      <w:pPr>
        <w:widowControl/>
        <w:spacing w:line="560" w:lineRule="exact"/>
        <w:jc w:val="left"/>
      </w:pPr>
    </w:p>
    <w:p>
      <w:pPr>
        <w:spacing w:line="560" w:lineRule="exact"/>
        <w:ind w:firstLine="880" w:firstLineChars="200"/>
        <w:rPr>
          <w:rStyle w:val="29"/>
          <w:rFonts w:ascii="黑体" w:hAnsi="黑体" w:eastAsia="黑体"/>
          <w:b w:val="0"/>
        </w:rPr>
      </w:pPr>
      <w:r>
        <w:rPr>
          <w:rStyle w:val="29"/>
          <w:rFonts w:ascii="黑体" w:hAnsi="黑体" w:eastAsia="黑体"/>
          <w:b w:val="0"/>
        </w:rPr>
        <w:br w:type="page"/>
      </w:r>
    </w:p>
    <w:p>
      <w:pPr>
        <w:spacing w:line="560" w:lineRule="exact"/>
        <w:jc w:val="center"/>
        <w:outlineLvl w:val="0"/>
        <w:rPr>
          <w:rStyle w:val="29"/>
          <w:rFonts w:ascii="黑体" w:hAnsi="黑体" w:eastAsia="黑体"/>
          <w:b w:val="0"/>
        </w:rPr>
      </w:pPr>
      <w:bookmarkStart w:id="81" w:name="_Toc15396618"/>
      <w:bookmarkStart w:id="82" w:name="_Toc31214"/>
      <w:r>
        <w:rPr>
          <w:rFonts w:hint="eastAsia" w:ascii="黑体" w:hAnsi="黑体" w:eastAsia="黑体"/>
          <w:color w:val="000000"/>
          <w:sz w:val="44"/>
          <w:szCs w:val="44"/>
        </w:rPr>
        <w:t>第</w:t>
      </w:r>
      <w:r>
        <w:rPr>
          <w:rStyle w:val="29"/>
          <w:rFonts w:hint="eastAsia" w:ascii="黑体" w:hAnsi="黑体" w:eastAsia="黑体"/>
          <w:b w:val="0"/>
        </w:rPr>
        <w:t>五部分 附表</w:t>
      </w:r>
      <w:bookmarkEnd w:id="76"/>
      <w:bookmarkEnd w:id="81"/>
      <w:bookmarkEnd w:id="82"/>
    </w:p>
    <w:p>
      <w:pPr>
        <w:pStyle w:val="2"/>
      </w:pPr>
    </w:p>
    <w:p>
      <w:pPr>
        <w:pStyle w:val="4"/>
        <w:spacing w:before="0" w:after="0" w:line="560" w:lineRule="exact"/>
        <w:rPr>
          <w:rFonts w:ascii="仿宋_GB2312" w:hAnsi="仿宋_GB2312" w:eastAsia="仿宋_GB2312" w:cs="仿宋_GB2312"/>
          <w:color w:val="000000"/>
        </w:rPr>
      </w:pPr>
      <w:bookmarkStart w:id="83" w:name="_Toc15396619"/>
      <w:bookmarkStart w:id="84" w:name="_Toc3440"/>
      <w:r>
        <w:rPr>
          <w:rFonts w:hint="eastAsia" w:ascii="仿宋_GB2312" w:hAnsi="仿宋_GB2312" w:eastAsia="仿宋_GB2312" w:cs="仿宋_GB2312"/>
          <w:b w:val="0"/>
          <w:color w:val="000000"/>
        </w:rPr>
        <w:t>一、收</w:t>
      </w:r>
      <w:r>
        <w:rPr>
          <w:rStyle w:val="30"/>
          <w:rFonts w:hint="eastAsia" w:ascii="仿宋_GB2312" w:hAnsi="仿宋_GB2312" w:eastAsia="仿宋_GB2312" w:cs="仿宋_GB2312"/>
          <w:b w:val="0"/>
          <w:bCs w:val="0"/>
        </w:rPr>
        <w:t>入支出决算总表</w:t>
      </w:r>
      <w:bookmarkEnd w:id="83"/>
      <w:bookmarkEnd w:id="84"/>
    </w:p>
    <w:p>
      <w:pPr>
        <w:pStyle w:val="4"/>
        <w:spacing w:before="0" w:after="0" w:line="560" w:lineRule="exact"/>
        <w:rPr>
          <w:rFonts w:ascii="仿宋_GB2312" w:hAnsi="仿宋_GB2312" w:eastAsia="仿宋_GB2312" w:cs="仿宋_GB2312"/>
          <w:color w:val="000000"/>
        </w:rPr>
      </w:pPr>
      <w:bookmarkStart w:id="85" w:name="_Toc15396620"/>
      <w:bookmarkStart w:id="86" w:name="_Toc25157"/>
      <w:r>
        <w:rPr>
          <w:rFonts w:hint="eastAsia" w:ascii="仿宋_GB2312" w:hAnsi="仿宋_GB2312" w:eastAsia="仿宋_GB2312" w:cs="仿宋_GB2312"/>
          <w:b w:val="0"/>
          <w:color w:val="000000"/>
        </w:rPr>
        <w:t>二、收</w:t>
      </w:r>
      <w:r>
        <w:rPr>
          <w:rStyle w:val="30"/>
          <w:rFonts w:hint="eastAsia" w:ascii="仿宋_GB2312" w:hAnsi="仿宋_GB2312" w:eastAsia="仿宋_GB2312" w:cs="仿宋_GB2312"/>
          <w:b w:val="0"/>
          <w:bCs w:val="0"/>
        </w:rPr>
        <w:t>入决算表</w:t>
      </w:r>
      <w:bookmarkEnd w:id="85"/>
      <w:bookmarkEnd w:id="86"/>
    </w:p>
    <w:p>
      <w:pPr>
        <w:pStyle w:val="4"/>
        <w:spacing w:before="0" w:after="0" w:line="560" w:lineRule="exact"/>
        <w:rPr>
          <w:rFonts w:ascii="仿宋_GB2312" w:hAnsi="仿宋_GB2312" w:eastAsia="仿宋_GB2312" w:cs="仿宋_GB2312"/>
          <w:color w:val="000000"/>
        </w:rPr>
      </w:pPr>
      <w:bookmarkStart w:id="87" w:name="_Toc10980"/>
      <w:bookmarkStart w:id="88" w:name="_Toc15396621"/>
      <w:r>
        <w:rPr>
          <w:rStyle w:val="30"/>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30"/>
          <w:rFonts w:hint="eastAsia" w:ascii="仿宋_GB2312" w:hAnsi="仿宋_GB2312" w:eastAsia="仿宋_GB2312" w:cs="仿宋_GB2312"/>
          <w:b w:val="0"/>
          <w:bCs w:val="0"/>
        </w:rPr>
        <w:t>出决算表</w:t>
      </w:r>
      <w:bookmarkEnd w:id="87"/>
      <w:bookmarkEnd w:id="88"/>
    </w:p>
    <w:p>
      <w:pPr>
        <w:pStyle w:val="4"/>
        <w:spacing w:before="0" w:after="0" w:line="560" w:lineRule="exact"/>
        <w:rPr>
          <w:rFonts w:ascii="仿宋_GB2312" w:hAnsi="仿宋_GB2312" w:eastAsia="仿宋_GB2312" w:cs="仿宋_GB2312"/>
          <w:b w:val="0"/>
          <w:color w:val="000000"/>
        </w:rPr>
      </w:pPr>
      <w:bookmarkStart w:id="89" w:name="_Toc15396622"/>
      <w:bookmarkStart w:id="90" w:name="_Toc23585"/>
      <w:r>
        <w:rPr>
          <w:rStyle w:val="30"/>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政拨款收入支出决算总表</w:t>
      </w:r>
      <w:bookmarkEnd w:id="89"/>
      <w:bookmarkEnd w:id="90"/>
    </w:p>
    <w:p>
      <w:pPr>
        <w:pStyle w:val="4"/>
        <w:spacing w:before="0" w:after="0" w:line="560" w:lineRule="exact"/>
        <w:rPr>
          <w:rStyle w:val="30"/>
          <w:rFonts w:ascii="仿宋_GB2312" w:hAnsi="仿宋_GB2312" w:eastAsia="仿宋_GB2312" w:cs="仿宋_GB2312"/>
          <w:b w:val="0"/>
          <w:bCs w:val="0"/>
        </w:rPr>
      </w:pPr>
      <w:bookmarkStart w:id="91" w:name="_Toc15396623"/>
      <w:bookmarkStart w:id="92" w:name="_Toc17873"/>
      <w:r>
        <w:rPr>
          <w:rStyle w:val="30"/>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政拨款支出决算明细表</w:t>
      </w:r>
      <w:bookmarkEnd w:id="91"/>
      <w:bookmarkEnd w:id="92"/>
      <w:bookmarkStart w:id="93" w:name="_Toc15396624"/>
    </w:p>
    <w:p>
      <w:pPr>
        <w:pStyle w:val="4"/>
        <w:spacing w:before="0" w:after="0" w:line="560" w:lineRule="exact"/>
        <w:rPr>
          <w:rFonts w:ascii="仿宋_GB2312" w:hAnsi="仿宋_GB2312" w:eastAsia="仿宋_GB2312" w:cs="仿宋_GB2312"/>
          <w:color w:val="000000"/>
        </w:rPr>
      </w:pPr>
      <w:bookmarkStart w:id="94" w:name="_Toc29816"/>
      <w:r>
        <w:rPr>
          <w:rStyle w:val="30"/>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般公共预算财政拨款支出决算表</w:t>
      </w:r>
      <w:bookmarkEnd w:id="93"/>
      <w:bookmarkEnd w:id="94"/>
    </w:p>
    <w:p>
      <w:pPr>
        <w:pStyle w:val="4"/>
        <w:spacing w:before="0" w:after="0" w:line="560" w:lineRule="exact"/>
        <w:rPr>
          <w:rFonts w:ascii="仿宋_GB2312" w:hAnsi="仿宋_GB2312" w:eastAsia="仿宋_GB2312" w:cs="仿宋_GB2312"/>
          <w:color w:val="000000"/>
        </w:rPr>
      </w:pPr>
      <w:bookmarkStart w:id="95" w:name="_Toc14733"/>
      <w:bookmarkStart w:id="96" w:name="_Toc15396625"/>
      <w:r>
        <w:rPr>
          <w:rStyle w:val="30"/>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般公共预算财政拨款支出决算明细表</w:t>
      </w:r>
      <w:bookmarkEnd w:id="95"/>
      <w:bookmarkEnd w:id="96"/>
    </w:p>
    <w:p>
      <w:pPr>
        <w:pStyle w:val="4"/>
        <w:spacing w:before="0" w:after="0" w:line="560" w:lineRule="exact"/>
        <w:rPr>
          <w:rFonts w:ascii="仿宋_GB2312" w:hAnsi="仿宋_GB2312" w:eastAsia="仿宋_GB2312" w:cs="仿宋_GB2312"/>
          <w:color w:val="000000"/>
        </w:rPr>
      </w:pPr>
      <w:bookmarkStart w:id="97" w:name="_Toc15396626"/>
      <w:bookmarkStart w:id="98" w:name="_Toc31392"/>
      <w:r>
        <w:rPr>
          <w:rStyle w:val="30"/>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般公共预算财政拨款基本支出决算表</w:t>
      </w:r>
      <w:bookmarkEnd w:id="97"/>
      <w:bookmarkEnd w:id="98"/>
    </w:p>
    <w:p>
      <w:pPr>
        <w:pStyle w:val="4"/>
        <w:spacing w:before="0" w:after="0" w:line="560" w:lineRule="exact"/>
        <w:rPr>
          <w:rFonts w:ascii="仿宋_GB2312" w:hAnsi="仿宋_GB2312" w:eastAsia="仿宋_GB2312" w:cs="仿宋_GB2312"/>
          <w:color w:val="000000"/>
        </w:rPr>
      </w:pPr>
      <w:bookmarkStart w:id="99" w:name="_Toc15393"/>
      <w:bookmarkStart w:id="100" w:name="_Toc15396627"/>
      <w:r>
        <w:rPr>
          <w:rStyle w:val="30"/>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般公共预算财政拨款项目支出决算表</w:t>
      </w:r>
      <w:bookmarkEnd w:id="99"/>
      <w:bookmarkEnd w:id="100"/>
    </w:p>
    <w:p>
      <w:pPr>
        <w:pStyle w:val="4"/>
        <w:spacing w:before="0" w:after="0" w:line="560" w:lineRule="exact"/>
        <w:rPr>
          <w:rFonts w:ascii="仿宋_GB2312" w:hAnsi="仿宋_GB2312" w:eastAsia="仿宋_GB2312" w:cs="仿宋_GB2312"/>
          <w:color w:val="000000"/>
        </w:rPr>
      </w:pPr>
      <w:bookmarkStart w:id="101" w:name="_Toc2143"/>
      <w:bookmarkStart w:id="102" w:name="_Toc15396628"/>
      <w:r>
        <w:rPr>
          <w:rStyle w:val="30"/>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般公共预算财政拨款“三公”经费支出决算表</w:t>
      </w:r>
      <w:bookmarkEnd w:id="101"/>
      <w:bookmarkEnd w:id="102"/>
    </w:p>
    <w:p>
      <w:pPr>
        <w:pStyle w:val="4"/>
        <w:spacing w:before="0" w:after="0" w:line="560" w:lineRule="exact"/>
        <w:rPr>
          <w:rStyle w:val="30"/>
          <w:rFonts w:ascii="仿宋_GB2312" w:hAnsi="仿宋_GB2312" w:eastAsia="仿宋_GB2312" w:cs="仿宋_GB2312"/>
          <w:b w:val="0"/>
          <w:bCs w:val="0"/>
        </w:rPr>
      </w:pPr>
      <w:bookmarkStart w:id="103" w:name="_Toc15396629"/>
      <w:bookmarkStart w:id="104" w:name="_Toc21654"/>
      <w:r>
        <w:rPr>
          <w:rStyle w:val="30"/>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30"/>
          <w:rFonts w:hint="eastAsia" w:ascii="仿宋_GB2312" w:hAnsi="仿宋_GB2312" w:eastAsia="仿宋_GB2312" w:cs="仿宋_GB2312"/>
          <w:b w:val="0"/>
          <w:bCs w:val="0"/>
        </w:rPr>
        <w:t>府性基金预算财政拨款收入支出决算表</w:t>
      </w:r>
      <w:bookmarkEnd w:id="103"/>
      <w:bookmarkEnd w:id="104"/>
    </w:p>
    <w:p>
      <w:pPr>
        <w:pStyle w:val="4"/>
        <w:spacing w:before="0" w:after="0" w:line="560" w:lineRule="exact"/>
        <w:rPr>
          <w:rStyle w:val="30"/>
          <w:rFonts w:ascii="仿宋_GB2312" w:hAnsi="仿宋_GB2312" w:eastAsia="仿宋_GB2312" w:cs="仿宋_GB2312"/>
          <w:b w:val="0"/>
          <w:bCs w:val="0"/>
        </w:rPr>
      </w:pPr>
      <w:bookmarkStart w:id="105" w:name="_Toc29576"/>
      <w:r>
        <w:rPr>
          <w:rStyle w:val="30"/>
          <w:rFonts w:hint="eastAsia" w:ascii="仿宋_GB2312" w:hAnsi="仿宋_GB2312" w:eastAsia="仿宋_GB2312" w:cs="仿宋_GB2312"/>
          <w:b w:val="0"/>
          <w:bCs w:val="0"/>
        </w:rPr>
        <w:t>十二、政府性基金预算财政拨款“三公”经费支出决算表</w:t>
      </w:r>
      <w:bookmarkEnd w:id="105"/>
    </w:p>
    <w:p>
      <w:pPr>
        <w:pStyle w:val="4"/>
        <w:spacing w:before="0" w:after="0" w:line="560" w:lineRule="exact"/>
        <w:rPr>
          <w:rStyle w:val="30"/>
          <w:rFonts w:ascii="仿宋_GB2312" w:hAnsi="仿宋_GB2312" w:eastAsia="仿宋_GB2312" w:cs="仿宋_GB2312"/>
          <w:b w:val="0"/>
          <w:bCs w:val="0"/>
        </w:rPr>
      </w:pPr>
      <w:bookmarkStart w:id="106" w:name="_Toc2205"/>
      <w:r>
        <w:rPr>
          <w:rStyle w:val="30"/>
          <w:rFonts w:hint="eastAsia" w:ascii="仿宋_GB2312" w:hAnsi="仿宋_GB2312" w:eastAsia="仿宋_GB2312" w:cs="仿宋_GB2312"/>
          <w:b w:val="0"/>
          <w:bCs w:val="0"/>
        </w:rPr>
        <w:t>十三、国有资本经营预算财政拨款收入支出决算表</w:t>
      </w:r>
      <w:bookmarkEnd w:id="106"/>
    </w:p>
    <w:p>
      <w:pPr>
        <w:pStyle w:val="4"/>
        <w:spacing w:before="0" w:after="0" w:line="560" w:lineRule="exact"/>
        <w:rPr>
          <w:rStyle w:val="30"/>
          <w:rFonts w:ascii="仿宋_GB2312" w:hAnsi="仿宋_GB2312" w:eastAsia="仿宋_GB2312" w:cs="仿宋_GB2312"/>
          <w:b w:val="0"/>
          <w:bCs w:val="0"/>
        </w:rPr>
      </w:pPr>
      <w:bookmarkStart w:id="107" w:name="_Toc15761"/>
      <w:r>
        <w:rPr>
          <w:rStyle w:val="30"/>
          <w:rFonts w:hint="eastAsia" w:ascii="仿宋_GB2312" w:hAnsi="仿宋_GB2312" w:eastAsia="仿宋_GB2312" w:cs="仿宋_GB2312"/>
          <w:b w:val="0"/>
          <w:bCs w:val="0"/>
        </w:rPr>
        <w:t>十四、国有资本经营预算财政拨款支出决算表</w:t>
      </w:r>
      <w:bookmarkEnd w:id="107"/>
    </w:p>
    <w:p>
      <w:pPr>
        <w:pStyle w:val="4"/>
        <w:spacing w:before="0" w:after="0" w:line="560" w:lineRule="exact"/>
        <w:rPr>
          <w:rStyle w:val="30"/>
          <w:rFonts w:ascii="仿宋_GB2312" w:hAnsi="仿宋_GB2312" w:eastAsia="仿宋_GB2312" w:cs="仿宋_GB2312"/>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2843BE-DD9B-4475-8950-203DBB14A0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36373C7-01F1-4D04-92B3-F20D67491190}"/>
  </w:font>
  <w:font w:name="Cambria">
    <w:panose1 w:val="02040503050406030204"/>
    <w:charset w:val="00"/>
    <w:family w:val="roman"/>
    <w:pitch w:val="default"/>
    <w:sig w:usb0="A00002EF" w:usb1="4000004B" w:usb2="00000000" w:usb3="00000000" w:csb0="2000019F" w:csb1="00000000"/>
    <w:embedRegular r:id="rId3" w:fontKey="{AD099BA5-3627-44A5-BA9B-68117B7DA602}"/>
  </w:font>
  <w:font w:name="仿宋_GB2312">
    <w:panose1 w:val="02010609030101010101"/>
    <w:charset w:val="86"/>
    <w:family w:val="modern"/>
    <w:pitch w:val="default"/>
    <w:sig w:usb0="00000001" w:usb1="080E0000" w:usb2="00000000" w:usb3="00000000" w:csb0="00040000" w:csb1="00000000"/>
    <w:embedRegular r:id="rId4" w:fontKey="{E07E45F2-BFE6-4492-AEC5-472544279FE0}"/>
  </w:font>
  <w:font w:name="仿宋">
    <w:panose1 w:val="02010609060101010101"/>
    <w:charset w:val="86"/>
    <w:family w:val="modern"/>
    <w:pitch w:val="default"/>
    <w:sig w:usb0="800002BF" w:usb1="38CF7CFA" w:usb2="00000016" w:usb3="00000000" w:csb0="00040001" w:csb1="00000000"/>
    <w:embedRegular r:id="rId5" w:fontKey="{D9AEBE8C-4C66-49FE-882B-624F4F74F9C7}"/>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EF7F556A-CE32-4A1C-A3C3-153B02550037}"/>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575B3"/>
    <w:multiLevelType w:val="singleLevel"/>
    <w:tmpl w:val="BB3575B3"/>
    <w:lvl w:ilvl="0" w:tentative="0">
      <w:start w:val="1"/>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方正小标宋简体" w:hAnsi="方正小标宋简体" w:eastAsia="方正小标宋简体" w:cs="方正小标宋简体"/>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4F85EAF"/>
    <w:multiLevelType w:val="multilevel"/>
    <w:tmpl w:val="34F85EAF"/>
    <w:lvl w:ilvl="0" w:tentative="0">
      <w:start w:val="1"/>
      <w:numFmt w:val="chineseCountingThousand"/>
      <w:pStyle w:val="41"/>
      <w:suff w:val="nothing"/>
      <w:lvlText w:val="%1、"/>
      <w:lvlJc w:val="left"/>
      <w:pPr>
        <w:ind w:left="-637" w:firstLine="6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3644E7"/>
    <w:multiLevelType w:val="singleLevel"/>
    <w:tmpl w:val="493644E7"/>
    <w:lvl w:ilvl="0" w:tentative="0">
      <w:start w:val="1"/>
      <w:numFmt w:val="chineseCounting"/>
      <w:suff w:val="nothing"/>
      <w:lvlText w:val="（%1）"/>
      <w:lvlJc w:val="left"/>
      <w:rPr>
        <w:rFonts w:hint="eastAsia"/>
      </w:rPr>
    </w:lvl>
  </w:abstractNum>
  <w:abstractNum w:abstractNumId="7">
    <w:nsid w:val="51ED63FA"/>
    <w:multiLevelType w:val="singleLevel"/>
    <w:tmpl w:val="51ED63FA"/>
    <w:lvl w:ilvl="0" w:tentative="0">
      <w:start w:val="1"/>
      <w:numFmt w:val="chineseCounting"/>
      <w:suff w:val="nothing"/>
      <w:lvlText w:val="%1、"/>
      <w:lvlJc w:val="left"/>
      <w:rPr>
        <w:rFonts w:hint="eastAsia"/>
      </w:rPr>
    </w:lvl>
  </w:abstractNum>
  <w:abstractNum w:abstractNumId="8">
    <w:nsid w:val="7EE55BF3"/>
    <w:multiLevelType w:val="multilevel"/>
    <w:tmpl w:val="7EE55BF3"/>
    <w:lvl w:ilvl="0" w:tentative="0">
      <w:start w:val="1"/>
      <w:numFmt w:val="chineseCountingThousand"/>
      <w:pStyle w:val="36"/>
      <w:suff w:val="nothing"/>
      <w:lvlText w:val="（%1）"/>
      <w:lvlJc w:val="left"/>
      <w:pPr>
        <w:ind w:left="-635" w:firstLine="635"/>
      </w:pPr>
      <w:rPr>
        <w:rFonts w:hint="eastAsia"/>
      </w:rPr>
    </w:lvl>
    <w:lvl w:ilvl="1" w:tentative="0">
      <w:start w:val="1"/>
      <w:numFmt w:val="decimal"/>
      <w:lvlText w:val="%2."/>
      <w:lvlJc w:val="left"/>
      <w:pPr>
        <w:ind w:left="99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8"/>
  </w:num>
  <w:num w:numId="2">
    <w:abstractNumId w:val="4"/>
  </w:num>
  <w:num w:numId="3">
    <w:abstractNumId w:val="0"/>
  </w:num>
  <w:num w:numId="4">
    <w:abstractNumId w:val="7"/>
  </w:num>
  <w:num w:numId="5">
    <w:abstractNumId w:val="6"/>
  </w:num>
  <w:num w:numId="6">
    <w:abstractNumId w:val="3"/>
  </w:num>
  <w:num w:numId="7">
    <w:abstractNumId w:val="1"/>
  </w:num>
  <w:num w:numId="8">
    <w:abstractNumId w:val="2"/>
  </w:num>
  <w:num w:numId="9">
    <w:abstractNumId w:val="5"/>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638B"/>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4792"/>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51445"/>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7275"/>
    <w:rsid w:val="003E1310"/>
    <w:rsid w:val="003E6F55"/>
    <w:rsid w:val="00403E72"/>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4F6CD0"/>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2F2A"/>
    <w:rsid w:val="006A3141"/>
    <w:rsid w:val="006A5E34"/>
    <w:rsid w:val="006B2422"/>
    <w:rsid w:val="006B2B9A"/>
    <w:rsid w:val="006C02A0"/>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1F72"/>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4C5"/>
    <w:rsid w:val="009315F9"/>
    <w:rsid w:val="00933499"/>
    <w:rsid w:val="00935C98"/>
    <w:rsid w:val="00946945"/>
    <w:rsid w:val="00951248"/>
    <w:rsid w:val="0095152F"/>
    <w:rsid w:val="00954C49"/>
    <w:rsid w:val="00954F37"/>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5E8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290C"/>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2DA2"/>
    <w:rsid w:val="00F602DF"/>
    <w:rsid w:val="00F754A1"/>
    <w:rsid w:val="00F81FD9"/>
    <w:rsid w:val="00F841AA"/>
    <w:rsid w:val="00F84A94"/>
    <w:rsid w:val="00F87E96"/>
    <w:rsid w:val="00FA23E8"/>
    <w:rsid w:val="00FD3CC1"/>
    <w:rsid w:val="00FF1E02"/>
    <w:rsid w:val="00FF30B4"/>
    <w:rsid w:val="02465C46"/>
    <w:rsid w:val="024A5757"/>
    <w:rsid w:val="035B3426"/>
    <w:rsid w:val="05F10801"/>
    <w:rsid w:val="06047149"/>
    <w:rsid w:val="06177A0C"/>
    <w:rsid w:val="07DE3A2D"/>
    <w:rsid w:val="07E30324"/>
    <w:rsid w:val="0ED02632"/>
    <w:rsid w:val="0FF42EE5"/>
    <w:rsid w:val="10513385"/>
    <w:rsid w:val="10C055FF"/>
    <w:rsid w:val="10EC7881"/>
    <w:rsid w:val="12573C04"/>
    <w:rsid w:val="129738E1"/>
    <w:rsid w:val="145A574B"/>
    <w:rsid w:val="16BB723D"/>
    <w:rsid w:val="17CD4227"/>
    <w:rsid w:val="18E50FED"/>
    <w:rsid w:val="190B107C"/>
    <w:rsid w:val="1934520E"/>
    <w:rsid w:val="19833E90"/>
    <w:rsid w:val="198469CA"/>
    <w:rsid w:val="1A93247F"/>
    <w:rsid w:val="1AA45714"/>
    <w:rsid w:val="1C2420A6"/>
    <w:rsid w:val="1F1B13DA"/>
    <w:rsid w:val="21560D2D"/>
    <w:rsid w:val="22446AB9"/>
    <w:rsid w:val="240371BF"/>
    <w:rsid w:val="25461F18"/>
    <w:rsid w:val="25C23BA0"/>
    <w:rsid w:val="26371BB4"/>
    <w:rsid w:val="26396DAE"/>
    <w:rsid w:val="26786514"/>
    <w:rsid w:val="268470C8"/>
    <w:rsid w:val="27B930D2"/>
    <w:rsid w:val="29251A2B"/>
    <w:rsid w:val="29FD04D3"/>
    <w:rsid w:val="2CBB3D19"/>
    <w:rsid w:val="2D194BE6"/>
    <w:rsid w:val="2D400EB3"/>
    <w:rsid w:val="2F637FCE"/>
    <w:rsid w:val="313F1D92"/>
    <w:rsid w:val="317C35EC"/>
    <w:rsid w:val="319F7F4E"/>
    <w:rsid w:val="3209246F"/>
    <w:rsid w:val="32265868"/>
    <w:rsid w:val="32575F62"/>
    <w:rsid w:val="3304575D"/>
    <w:rsid w:val="340929FA"/>
    <w:rsid w:val="347060F5"/>
    <w:rsid w:val="369C0B39"/>
    <w:rsid w:val="36BB0550"/>
    <w:rsid w:val="36DC5AEF"/>
    <w:rsid w:val="3705791D"/>
    <w:rsid w:val="373D1814"/>
    <w:rsid w:val="37F72195"/>
    <w:rsid w:val="37FB298D"/>
    <w:rsid w:val="38226504"/>
    <w:rsid w:val="384F6FE7"/>
    <w:rsid w:val="38AE70D8"/>
    <w:rsid w:val="39101342"/>
    <w:rsid w:val="392036C2"/>
    <w:rsid w:val="3CBA4860"/>
    <w:rsid w:val="3D956F1C"/>
    <w:rsid w:val="411F1218"/>
    <w:rsid w:val="43572034"/>
    <w:rsid w:val="43A6438E"/>
    <w:rsid w:val="444E705D"/>
    <w:rsid w:val="45593C05"/>
    <w:rsid w:val="47144C14"/>
    <w:rsid w:val="47F3725C"/>
    <w:rsid w:val="49302B43"/>
    <w:rsid w:val="495E5037"/>
    <w:rsid w:val="4ACD1734"/>
    <w:rsid w:val="4D550F29"/>
    <w:rsid w:val="4D8F54CF"/>
    <w:rsid w:val="4ECE2238"/>
    <w:rsid w:val="4F9D69C3"/>
    <w:rsid w:val="50055CC1"/>
    <w:rsid w:val="516446A6"/>
    <w:rsid w:val="51FD629B"/>
    <w:rsid w:val="52132A4E"/>
    <w:rsid w:val="536561FB"/>
    <w:rsid w:val="539518B2"/>
    <w:rsid w:val="53D46581"/>
    <w:rsid w:val="547443C8"/>
    <w:rsid w:val="54996638"/>
    <w:rsid w:val="56900041"/>
    <w:rsid w:val="569F11FA"/>
    <w:rsid w:val="56EF0458"/>
    <w:rsid w:val="595673B7"/>
    <w:rsid w:val="5B0105FC"/>
    <w:rsid w:val="5C25362A"/>
    <w:rsid w:val="5D096629"/>
    <w:rsid w:val="5DE1087E"/>
    <w:rsid w:val="60C53AB1"/>
    <w:rsid w:val="622312C2"/>
    <w:rsid w:val="627154A1"/>
    <w:rsid w:val="62842E61"/>
    <w:rsid w:val="64E83F7B"/>
    <w:rsid w:val="64F33B2D"/>
    <w:rsid w:val="657638D6"/>
    <w:rsid w:val="65AB0A78"/>
    <w:rsid w:val="65DC6B90"/>
    <w:rsid w:val="661F0A34"/>
    <w:rsid w:val="6623073E"/>
    <w:rsid w:val="670C02D7"/>
    <w:rsid w:val="6793645B"/>
    <w:rsid w:val="67C52DAC"/>
    <w:rsid w:val="682A338B"/>
    <w:rsid w:val="69881F4D"/>
    <w:rsid w:val="6A30369E"/>
    <w:rsid w:val="6A412308"/>
    <w:rsid w:val="6AC338CE"/>
    <w:rsid w:val="6AED2030"/>
    <w:rsid w:val="6C2032A8"/>
    <w:rsid w:val="6C4F2992"/>
    <w:rsid w:val="700D1000"/>
    <w:rsid w:val="72734D90"/>
    <w:rsid w:val="740E4705"/>
    <w:rsid w:val="748A620A"/>
    <w:rsid w:val="75C82814"/>
    <w:rsid w:val="75CC1A43"/>
    <w:rsid w:val="7747617E"/>
    <w:rsid w:val="78386F9B"/>
    <w:rsid w:val="78641221"/>
    <w:rsid w:val="788D7015"/>
    <w:rsid w:val="792212CF"/>
    <w:rsid w:val="7BFC25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5"/>
    <w:next w:val="1"/>
    <w:qFormat/>
    <w:uiPriority w:val="0"/>
    <w:pPr>
      <w:spacing w:before="280" w:after="290"/>
      <w:jc w:val="left"/>
      <w:outlineLvl w:val="3"/>
    </w:pPr>
    <w:rPr>
      <w:rFonts w:ascii="Cambria" w:hAnsi="Cambria" w:eastAsia="仿宋_GB231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42"/>
    <w:qFormat/>
    <w:uiPriority w:val="99"/>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character" w:styleId="17">
    <w:name w:val="Strong"/>
    <w:basedOn w:val="16"/>
    <w:qFormat/>
    <w:uiPriority w:val="99"/>
    <w:rPr>
      <w:b/>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basedOn w:val="16"/>
    <w:unhideWhenUsed/>
    <w:qFormat/>
    <w:uiPriority w:val="99"/>
    <w:rPr>
      <w:color w:val="0000FF" w:themeColor="hyperlink"/>
      <w:u w:val="single"/>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rPr>
  </w:style>
  <w:style w:type="paragraph" w:customStyle="1" w:styleId="36">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7">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8">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B01〗一级标题"/>
    <w:next w:val="1"/>
    <w:qFormat/>
    <w:uiPriority w:val="0"/>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 w:type="character" w:customStyle="1" w:styleId="42">
    <w:name w:val="称呼 Char"/>
    <w:basedOn w:val="16"/>
    <w:link w:val="2"/>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98165137614679"/>
          <c:y val="0.0369685767097967"/>
          <c:w val="0.936926605504589"/>
          <c:h val="0.800941018316249"/>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#,##0.00</c:formatCode>
                <c:ptCount val="2"/>
                <c:pt idx="0">
                  <c:v>35727.66</c:v>
                </c:pt>
                <c:pt idx="1">
                  <c:v>30768.88</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#,##0.00</c:formatCode>
                <c:ptCount val="2"/>
                <c:pt idx="0">
                  <c:v>68913.59</c:v>
                </c:pt>
                <c:pt idx="1">
                  <c:v>73872.38</c:v>
                </c:pt>
              </c:numCache>
            </c:numRef>
          </c:val>
        </c:ser>
        <c:dLbls>
          <c:showLegendKey val="0"/>
          <c:showVal val="1"/>
          <c:showCatName val="0"/>
          <c:showSerName val="0"/>
          <c:showPercent val="0"/>
          <c:showBubbleSize val="0"/>
        </c:dLbls>
        <c:gapWidth val="219"/>
        <c:overlap val="-27"/>
        <c:axId val="144907264"/>
        <c:axId val="144909056"/>
      </c:barChart>
      <c:catAx>
        <c:axId val="144907264"/>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4909056"/>
        <c:crosses val="autoZero"/>
        <c:auto val="1"/>
        <c:lblAlgn val="ctr"/>
        <c:lblOffset val="100"/>
        <c:noMultiLvlLbl val="0"/>
      </c:catAx>
      <c:valAx>
        <c:axId val="144909056"/>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49072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52.12</c:v>
                </c:pt>
                <c:pt idx="1" c:formatCode="#,##0.00">
                  <c:v>68861.47</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dLbl>
              <c:idx val="0"/>
              <c:layout>
                <c:manualLayout>
                  <c:x val="-0.00164194606173949"/>
                  <c:y val="0.14282945736434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37072743207713"/>
                      <c:h val="0.0614341085271318"/>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52.12</c:v>
                </c:pt>
                <c:pt idx="1" c:formatCode="#,##0.00">
                  <c:v>73820.26</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08240368882939"/>
          <c:y val="0.122643945262071"/>
          <c:w val="0.934553026922505"/>
          <c:h val="0.694138910405371"/>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#,##0.00</c:formatCode>
                <c:ptCount val="2"/>
                <c:pt idx="0">
                  <c:v>35727.66</c:v>
                </c:pt>
                <c:pt idx="1">
                  <c:v>30768.88</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68913.59</c:v>
                </c:pt>
                <c:pt idx="1">
                  <c:v>73872.38</c:v>
                </c:pt>
              </c:numCache>
            </c:numRef>
          </c:val>
        </c:ser>
        <c:dLbls>
          <c:showLegendKey val="0"/>
          <c:showVal val="1"/>
          <c:showCatName val="0"/>
          <c:showSerName val="0"/>
          <c:showPercent val="0"/>
          <c:showBubbleSize val="0"/>
        </c:dLbls>
        <c:gapWidth val="219"/>
        <c:overlap val="-27"/>
        <c:axId val="144902400"/>
        <c:axId val="147619840"/>
      </c:barChart>
      <c:catAx>
        <c:axId val="144902400"/>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7619840"/>
        <c:crosses val="autoZero"/>
        <c:auto val="1"/>
        <c:lblAlgn val="ctr"/>
        <c:lblOffset val="100"/>
        <c:noMultiLvlLbl val="0"/>
      </c:catAx>
      <c:valAx>
        <c:axId val="147619840"/>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4902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198973042362"/>
          <c:y val="0.06877964639931"/>
          <c:w val="0.929396662387676"/>
          <c:h val="0.744588184562311"/>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5484.38</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#,##0.00</c:formatCode>
                <c:ptCount val="1"/>
                <c:pt idx="0">
                  <c:v>5010.9</c:v>
                </c:pt>
              </c:numCache>
            </c:numRef>
          </c:val>
        </c:ser>
        <c:dLbls>
          <c:showLegendKey val="0"/>
          <c:showVal val="1"/>
          <c:showCatName val="0"/>
          <c:showSerName val="0"/>
          <c:showPercent val="0"/>
          <c:showBubbleSize val="0"/>
        </c:dLbls>
        <c:gapWidth val="219"/>
        <c:overlap val="-27"/>
        <c:axId val="145258752"/>
        <c:axId val="147738624"/>
      </c:barChart>
      <c:catAx>
        <c:axId val="14525875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7738624"/>
        <c:crosses val="autoZero"/>
        <c:auto val="1"/>
        <c:lblAlgn val="ctr"/>
        <c:lblOffset val="100"/>
        <c:noMultiLvlLbl val="0"/>
      </c:catAx>
      <c:valAx>
        <c:axId val="147738624"/>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5258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Lbls>
            <c:dLbl>
              <c:idx val="0"/>
              <c:layout>
                <c:manualLayout>
                  <c:x val="0.145686900958466"/>
                  <c:y val="0.0125227226822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3370607028754"/>
                  <c:y val="0.0834174914158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社会保障和就业支出</c:v>
                </c:pt>
                <c:pt idx="1">
                  <c:v>自然资源及海洋气象等支出</c:v>
                </c:pt>
              </c:strCache>
            </c:strRef>
          </c:cat>
          <c:val>
            <c:numRef>
              <c:f>Sheet1!$B$2:$B$3</c:f>
              <c:numCache>
                <c:formatCode>#,##0.00</c:formatCode>
                <c:ptCount val="2"/>
                <c:pt idx="0">
                  <c:v>4958.78</c:v>
                </c:pt>
                <c:pt idx="1" c:formatCode="General">
                  <c:v>52.12</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社会保障和就业支出</c:v>
                </c:pt>
                <c:pt idx="1">
                  <c:v>自然资源及海洋气象等支出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社会保障和就业支出</c:v>
                </c:pt>
                <c:pt idx="1">
                  <c:v>自然资源及海洋气象等支出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9792</Words>
  <Characters>10842</Characters>
  <Lines>30</Lines>
  <Paragraphs>26</Paragraphs>
  <TotalTime>43</TotalTime>
  <ScaleCrop>false</ScaleCrop>
  <LinksUpToDate>false</LinksUpToDate>
  <CharactersWithSpaces>10997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小小四 </cp:lastModifiedBy>
  <cp:lastPrinted>2020-09-25T01:07:00Z</cp:lastPrinted>
  <dcterms:modified xsi:type="dcterms:W3CDTF">2022-04-13T03:19:59Z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2A9000215E314825A0ACD09BA4C0ECC5</vt:lpwstr>
  </property>
</Properties>
</file>