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BC076">
      <w:pPr>
        <w:spacing w:line="600" w:lineRule="exact"/>
        <w:jc w:val="center"/>
        <w:rPr>
          <w:rFonts w:ascii="方正小标宋简体" w:hAnsi="宋体" w:eastAsia="方正小标宋简体"/>
          <w:color w:val="000000"/>
          <w:sz w:val="72"/>
          <w:szCs w:val="72"/>
        </w:rPr>
      </w:pPr>
      <w:bookmarkStart w:id="0" w:name="_Toc15306267"/>
    </w:p>
    <w:p w14:paraId="29FBED10">
      <w:pPr>
        <w:spacing w:line="600" w:lineRule="exact"/>
        <w:jc w:val="center"/>
        <w:rPr>
          <w:rFonts w:ascii="方正小标宋简体" w:hAnsi="宋体" w:eastAsia="方正小标宋简体"/>
          <w:color w:val="000000"/>
          <w:sz w:val="72"/>
          <w:szCs w:val="72"/>
        </w:rPr>
      </w:pPr>
    </w:p>
    <w:p w14:paraId="65DF07F2">
      <w:pPr>
        <w:spacing w:line="600" w:lineRule="exact"/>
        <w:jc w:val="center"/>
        <w:rPr>
          <w:rFonts w:ascii="方正小标宋简体" w:hAnsi="宋体" w:eastAsia="方正小标宋简体"/>
          <w:color w:val="000000"/>
          <w:sz w:val="72"/>
          <w:szCs w:val="72"/>
        </w:rPr>
      </w:pPr>
    </w:p>
    <w:p w14:paraId="7DC8946F">
      <w:pPr>
        <w:spacing w:line="600" w:lineRule="exact"/>
        <w:jc w:val="center"/>
        <w:rPr>
          <w:rFonts w:ascii="方正小标宋简体" w:hAnsi="宋体" w:eastAsia="方正小标宋简体"/>
          <w:color w:val="000000"/>
          <w:sz w:val="72"/>
          <w:szCs w:val="72"/>
        </w:rPr>
      </w:pPr>
    </w:p>
    <w:p w14:paraId="62610186">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8136"/>
      <w:bookmarkStart w:id="4" w:name="_Toc15396475"/>
      <w:bookmarkStart w:id="5" w:name="_Toc15377193"/>
      <w:bookmarkStart w:id="6"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14:paraId="7FD0F027">
      <w:pPr>
        <w:adjustRightInd w:val="0"/>
        <w:snapToGrid w:val="0"/>
        <w:spacing w:line="360" w:lineRule="auto"/>
        <w:jc w:val="center"/>
        <w:outlineLvl w:val="0"/>
        <w:rPr>
          <w:rFonts w:ascii="方正小标宋简体" w:hAnsi="宋体" w:eastAsia="方正小标宋简体"/>
          <w:color w:val="000000"/>
          <w:sz w:val="72"/>
          <w:szCs w:val="72"/>
        </w:rPr>
      </w:pPr>
      <w:bookmarkStart w:id="7" w:name="_Toc9780"/>
      <w:bookmarkStart w:id="8" w:name="_Toc15396598"/>
      <w:bookmarkStart w:id="9" w:name="_Toc15377194"/>
      <w:bookmarkStart w:id="10" w:name="_Toc15377426"/>
      <w:bookmarkStart w:id="11" w:name="_Toc15378442"/>
      <w:bookmarkStart w:id="12" w:name="_Toc15396476"/>
      <w:bookmarkStart w:id="13" w:name="_Toc15306268"/>
      <w:r>
        <w:rPr>
          <w:rFonts w:hint="eastAsia" w:ascii="方正小标宋简体" w:hAnsi="宋体" w:eastAsia="方正小标宋简体"/>
          <w:color w:val="000000"/>
          <w:sz w:val="72"/>
          <w:szCs w:val="72"/>
        </w:rPr>
        <w:t>乐山高新技术产业开发区土地储备中心部门</w:t>
      </w:r>
      <w:bookmarkEnd w:id="7"/>
      <w:bookmarkStart w:id="14" w:name="_Toc9854"/>
      <w:r>
        <w:rPr>
          <w:rFonts w:hint="eastAsia" w:ascii="方正小标宋简体" w:hAnsi="宋体" w:eastAsia="方正小标宋简体"/>
          <w:color w:val="000000"/>
          <w:sz w:val="72"/>
          <w:szCs w:val="72"/>
        </w:rPr>
        <w:t>决算</w:t>
      </w:r>
      <w:bookmarkEnd w:id="8"/>
      <w:bookmarkEnd w:id="9"/>
      <w:bookmarkEnd w:id="10"/>
      <w:bookmarkEnd w:id="11"/>
      <w:bookmarkEnd w:id="12"/>
      <w:bookmarkEnd w:id="13"/>
      <w:bookmarkEnd w:id="14"/>
    </w:p>
    <w:p w14:paraId="1267B0B4">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29068BD9">
      <w:pPr>
        <w:widowControl/>
        <w:jc w:val="center"/>
        <w:rPr>
          <w:rFonts w:ascii="黑体" w:hAnsi="黑体" w:eastAsia="黑体" w:cstheme="minorBidi"/>
          <w:sz w:val="28"/>
          <w:szCs w:val="28"/>
        </w:rPr>
      </w:pPr>
    </w:p>
    <w:p w14:paraId="311DB8F3">
      <w:pPr>
        <w:pStyle w:val="10"/>
      </w:pPr>
      <w:r>
        <w:rPr>
          <w:rFonts w:hint="eastAsia"/>
        </w:rPr>
        <w:t>公开时间：2020年9月3日</w:t>
      </w:r>
    </w:p>
    <w:p w14:paraId="17088EEB">
      <w:pPr>
        <w:jc w:val="center"/>
        <w:rPr>
          <w:b/>
        </w:rPr>
      </w:pPr>
      <w:r>
        <w:rPr>
          <w:rFonts w:ascii="宋体" w:hAnsi="宋体"/>
        </w:rPr>
        <w:t>目录</w:t>
      </w:r>
      <w:r>
        <w:fldChar w:fldCharType="begin"/>
      </w:r>
      <w:r>
        <w:instrText xml:space="preserve">TOC \o "1-2" \h \u </w:instrText>
      </w:r>
      <w:r>
        <w:fldChar w:fldCharType="separate"/>
      </w:r>
    </w:p>
    <w:p w14:paraId="712E784B">
      <w:pPr>
        <w:pStyle w:val="33"/>
        <w:tabs>
          <w:tab w:val="right" w:leader="dot" w:pos="8306"/>
        </w:tabs>
        <w:rPr>
          <w:b/>
        </w:rPr>
      </w:pPr>
      <w:r>
        <w:fldChar w:fldCharType="begin"/>
      </w:r>
      <w:r>
        <w:instrText xml:space="preserve"> HYPERLINK \l "_Toc2995" </w:instrText>
      </w:r>
      <w:r>
        <w:fldChar w:fldCharType="separate"/>
      </w:r>
      <w:r>
        <w:rPr>
          <w:rFonts w:hint="eastAsia" w:ascii="仿宋" w:hAnsi="仿宋" w:eastAsia="仿宋" w:cs="仿宋"/>
          <w:b/>
          <w:sz w:val="28"/>
          <w:szCs w:val="28"/>
        </w:rPr>
        <w:t>第一部分 部门概况</w:t>
      </w:r>
      <w:r>
        <w:rPr>
          <w:b/>
        </w:rPr>
        <w:tab/>
      </w:r>
      <w:r>
        <w:rPr>
          <w:b/>
        </w:rPr>
        <w:fldChar w:fldCharType="begin"/>
      </w:r>
      <w:r>
        <w:rPr>
          <w:b/>
        </w:rPr>
        <w:instrText xml:space="preserve"> PAGEREF _Toc2995 </w:instrText>
      </w:r>
      <w:r>
        <w:rPr>
          <w:b/>
        </w:rPr>
        <w:fldChar w:fldCharType="separate"/>
      </w:r>
      <w:r>
        <w:rPr>
          <w:b/>
        </w:rPr>
        <w:t>4</w:t>
      </w:r>
      <w:r>
        <w:rPr>
          <w:b/>
        </w:rPr>
        <w:fldChar w:fldCharType="end"/>
      </w:r>
      <w:r>
        <w:rPr>
          <w:b/>
        </w:rPr>
        <w:fldChar w:fldCharType="end"/>
      </w:r>
    </w:p>
    <w:p w14:paraId="17E484A9">
      <w:pPr>
        <w:pStyle w:val="34"/>
        <w:tabs>
          <w:tab w:val="right" w:leader="dot" w:pos="8306"/>
        </w:tabs>
        <w:ind w:left="420"/>
      </w:pPr>
      <w:r>
        <w:fldChar w:fldCharType="begin"/>
      </w:r>
      <w:r>
        <w:instrText xml:space="preserve"> HYPERLINK \l "_Toc9798" </w:instrText>
      </w:r>
      <w:r>
        <w:fldChar w:fldCharType="separate"/>
      </w:r>
      <w:r>
        <w:rPr>
          <w:rFonts w:hint="eastAsia" w:ascii="仿宋" w:hAnsi="仿宋" w:eastAsia="仿宋" w:cs="仿宋"/>
          <w:sz w:val="28"/>
          <w:szCs w:val="28"/>
        </w:rPr>
        <w:t>一、基本职能及主要工作</w:t>
      </w:r>
      <w:r>
        <w:tab/>
      </w:r>
      <w:r>
        <w:fldChar w:fldCharType="begin"/>
      </w:r>
      <w:r>
        <w:instrText xml:space="preserve"> PAGEREF _Toc9798 </w:instrText>
      </w:r>
      <w:r>
        <w:fldChar w:fldCharType="separate"/>
      </w:r>
      <w:r>
        <w:t>4</w:t>
      </w:r>
      <w:r>
        <w:fldChar w:fldCharType="end"/>
      </w:r>
      <w:r>
        <w:fldChar w:fldCharType="end"/>
      </w:r>
    </w:p>
    <w:p w14:paraId="4D8DE50F">
      <w:pPr>
        <w:pStyle w:val="34"/>
        <w:tabs>
          <w:tab w:val="right" w:leader="dot" w:pos="8306"/>
        </w:tabs>
        <w:ind w:left="420"/>
      </w:pPr>
      <w:r>
        <w:fldChar w:fldCharType="begin"/>
      </w:r>
      <w:r>
        <w:instrText xml:space="preserve"> HYPERLINK \l "_Toc17060" </w:instrText>
      </w:r>
      <w:r>
        <w:fldChar w:fldCharType="separate"/>
      </w:r>
      <w:r>
        <w:rPr>
          <w:rFonts w:hint="eastAsia" w:ascii="仿宋" w:hAnsi="仿宋" w:eastAsia="仿宋" w:cs="仿宋"/>
          <w:sz w:val="28"/>
          <w:szCs w:val="28"/>
        </w:rPr>
        <w:t>二、机构设置</w:t>
      </w:r>
      <w:r>
        <w:tab/>
      </w:r>
      <w:r>
        <w:fldChar w:fldCharType="begin"/>
      </w:r>
      <w:r>
        <w:instrText xml:space="preserve"> PAGEREF _Toc17060 </w:instrText>
      </w:r>
      <w:r>
        <w:fldChar w:fldCharType="separate"/>
      </w:r>
      <w:r>
        <w:t>6</w:t>
      </w:r>
      <w:r>
        <w:fldChar w:fldCharType="end"/>
      </w:r>
      <w:r>
        <w:fldChar w:fldCharType="end"/>
      </w:r>
    </w:p>
    <w:p w14:paraId="624A30F4">
      <w:pPr>
        <w:pStyle w:val="33"/>
        <w:tabs>
          <w:tab w:val="right" w:leader="dot" w:pos="8306"/>
        </w:tabs>
        <w:rPr>
          <w:b/>
        </w:rPr>
      </w:pPr>
      <w:r>
        <w:fldChar w:fldCharType="begin"/>
      </w:r>
      <w:r>
        <w:instrText xml:space="preserve"> HYPERLINK \l "_Toc2358" </w:instrText>
      </w:r>
      <w:r>
        <w:fldChar w:fldCharType="separate"/>
      </w:r>
      <w:r>
        <w:rPr>
          <w:rFonts w:hint="eastAsia" w:ascii="仿宋" w:hAnsi="仿宋" w:eastAsia="仿宋" w:cs="仿宋"/>
          <w:b/>
          <w:sz w:val="28"/>
          <w:szCs w:val="28"/>
        </w:rPr>
        <w:t>第二部分 2019年度部门决算情况说明</w:t>
      </w:r>
      <w:r>
        <w:rPr>
          <w:b/>
        </w:rPr>
        <w:tab/>
      </w:r>
      <w:r>
        <w:rPr>
          <w:b/>
        </w:rPr>
        <w:fldChar w:fldCharType="begin"/>
      </w:r>
      <w:r>
        <w:rPr>
          <w:b/>
        </w:rPr>
        <w:instrText xml:space="preserve"> PAGEREF _Toc2358 </w:instrText>
      </w:r>
      <w:r>
        <w:rPr>
          <w:b/>
        </w:rPr>
        <w:fldChar w:fldCharType="separate"/>
      </w:r>
      <w:r>
        <w:rPr>
          <w:b/>
        </w:rPr>
        <w:t>6</w:t>
      </w:r>
      <w:r>
        <w:rPr>
          <w:b/>
        </w:rPr>
        <w:fldChar w:fldCharType="end"/>
      </w:r>
      <w:r>
        <w:rPr>
          <w:b/>
        </w:rPr>
        <w:fldChar w:fldCharType="end"/>
      </w:r>
    </w:p>
    <w:p w14:paraId="6AA985A0">
      <w:pPr>
        <w:pStyle w:val="34"/>
        <w:tabs>
          <w:tab w:val="right" w:leader="dot" w:pos="8306"/>
        </w:tabs>
        <w:ind w:left="420"/>
        <w:rPr>
          <w:rFonts w:ascii="仿宋" w:hAnsi="仿宋" w:eastAsia="仿宋" w:cs="仿宋"/>
          <w:sz w:val="28"/>
          <w:szCs w:val="28"/>
        </w:rPr>
      </w:pPr>
      <w:r>
        <w:fldChar w:fldCharType="begin"/>
      </w:r>
      <w:r>
        <w:instrText xml:space="preserve"> HYPERLINK \l "_Toc689" </w:instrText>
      </w:r>
      <w:r>
        <w:fldChar w:fldCharType="separate"/>
      </w:r>
      <w:r>
        <w:rPr>
          <w:rFonts w:ascii="仿宋" w:hAnsi="仿宋" w:eastAsia="仿宋" w:cs="仿宋"/>
          <w:sz w:val="28"/>
          <w:szCs w:val="28"/>
        </w:rPr>
        <w:t xml:space="preserve">一、 </w:t>
      </w:r>
      <w:r>
        <w:rPr>
          <w:rFonts w:hint="eastAsia" w:ascii="仿宋" w:hAnsi="仿宋" w:eastAsia="仿宋" w:cs="仿宋"/>
          <w:sz w:val="28"/>
          <w:szCs w:val="28"/>
        </w:rPr>
        <w:t>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_Toc689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F1D97D">
      <w:pPr>
        <w:pStyle w:val="34"/>
        <w:tabs>
          <w:tab w:val="right" w:leader="dot" w:pos="8306"/>
        </w:tabs>
        <w:ind w:left="420"/>
        <w:rPr>
          <w:rFonts w:ascii="仿宋" w:hAnsi="仿宋" w:eastAsia="仿宋" w:cs="仿宋"/>
          <w:sz w:val="28"/>
          <w:szCs w:val="28"/>
        </w:rPr>
      </w:pPr>
      <w:r>
        <w:fldChar w:fldCharType="begin"/>
      </w:r>
      <w:r>
        <w:instrText xml:space="preserve"> HYPERLINK \l "_Toc3612" </w:instrText>
      </w:r>
      <w:r>
        <w:fldChar w:fldCharType="separate"/>
      </w:r>
      <w:r>
        <w:rPr>
          <w:rFonts w:ascii="仿宋" w:hAnsi="仿宋" w:eastAsia="仿宋" w:cs="仿宋"/>
          <w:sz w:val="28"/>
          <w:szCs w:val="28"/>
        </w:rPr>
        <w:t xml:space="preserve">二、 </w:t>
      </w:r>
      <w:r>
        <w:rPr>
          <w:rFonts w:hint="eastAsia" w:ascii="仿宋" w:hAnsi="仿宋" w:eastAsia="仿宋" w:cs="仿宋"/>
          <w:sz w:val="28"/>
          <w:szCs w:val="28"/>
        </w:rPr>
        <w:t>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_Toc3612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ACBEED">
      <w:pPr>
        <w:pStyle w:val="34"/>
        <w:tabs>
          <w:tab w:val="right" w:leader="dot" w:pos="8306"/>
        </w:tabs>
        <w:ind w:left="420"/>
        <w:rPr>
          <w:rFonts w:ascii="仿宋" w:hAnsi="仿宋" w:eastAsia="仿宋" w:cs="仿宋"/>
          <w:sz w:val="28"/>
          <w:szCs w:val="28"/>
        </w:rPr>
      </w:pPr>
      <w:r>
        <w:fldChar w:fldCharType="begin"/>
      </w:r>
      <w:r>
        <w:instrText xml:space="preserve"> HYPERLINK \l "_Toc2831" </w:instrText>
      </w:r>
      <w:r>
        <w:fldChar w:fldCharType="separate"/>
      </w:r>
      <w:r>
        <w:rPr>
          <w:rFonts w:ascii="仿宋" w:hAnsi="仿宋" w:eastAsia="仿宋" w:cs="仿宋"/>
          <w:sz w:val="28"/>
          <w:szCs w:val="28"/>
        </w:rPr>
        <w:t xml:space="preserve">三、 </w:t>
      </w:r>
      <w:r>
        <w:rPr>
          <w:rFonts w:hint="eastAsia" w:ascii="仿宋" w:hAnsi="仿宋" w:eastAsia="仿宋" w:cs="仿宋"/>
          <w:sz w:val="28"/>
          <w:szCs w:val="28"/>
        </w:rPr>
        <w:t>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99CA64">
      <w:pPr>
        <w:pStyle w:val="34"/>
        <w:tabs>
          <w:tab w:val="right" w:leader="dot" w:pos="8306"/>
        </w:tabs>
        <w:ind w:left="420"/>
        <w:rPr>
          <w:rFonts w:ascii="仿宋" w:hAnsi="仿宋" w:eastAsia="仿宋" w:cs="仿宋"/>
          <w:sz w:val="28"/>
          <w:szCs w:val="28"/>
        </w:rPr>
      </w:pPr>
      <w:r>
        <w:fldChar w:fldCharType="begin"/>
      </w:r>
      <w:r>
        <w:instrText xml:space="preserve"> HYPERLINK \l "_Toc19886"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_Toc19886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1BBA54">
      <w:pPr>
        <w:pStyle w:val="34"/>
        <w:tabs>
          <w:tab w:val="right" w:leader="dot" w:pos="8306"/>
        </w:tabs>
        <w:ind w:left="420"/>
        <w:rPr>
          <w:rFonts w:ascii="仿宋" w:hAnsi="仿宋" w:eastAsia="仿宋" w:cs="仿宋"/>
          <w:sz w:val="28"/>
          <w:szCs w:val="28"/>
        </w:rPr>
      </w:pPr>
      <w:r>
        <w:fldChar w:fldCharType="begin"/>
      </w:r>
      <w:r>
        <w:instrText xml:space="preserve"> HYPERLINK \l "_Toc30903"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_Toc30903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0E6C633">
      <w:pPr>
        <w:pStyle w:val="34"/>
        <w:tabs>
          <w:tab w:val="right" w:leader="dot" w:pos="8306"/>
        </w:tabs>
        <w:ind w:left="420"/>
        <w:rPr>
          <w:rFonts w:ascii="仿宋" w:hAnsi="仿宋" w:eastAsia="仿宋" w:cs="仿宋"/>
          <w:sz w:val="28"/>
          <w:szCs w:val="28"/>
        </w:rPr>
      </w:pPr>
      <w:r>
        <w:fldChar w:fldCharType="begin"/>
      </w:r>
      <w:r>
        <w:instrText xml:space="preserve"> HYPERLINK \l "_Toc11936"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_Toc11936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AA903E">
      <w:pPr>
        <w:pStyle w:val="34"/>
        <w:tabs>
          <w:tab w:val="right" w:leader="dot" w:pos="8306"/>
        </w:tabs>
        <w:ind w:left="420"/>
        <w:rPr>
          <w:rFonts w:ascii="仿宋" w:hAnsi="仿宋" w:eastAsia="仿宋" w:cs="仿宋"/>
          <w:sz w:val="28"/>
          <w:szCs w:val="28"/>
        </w:rPr>
      </w:pPr>
      <w:r>
        <w:fldChar w:fldCharType="begin"/>
      </w:r>
      <w:r>
        <w:instrText xml:space="preserve"> HYPERLINK \l "_Toc22020"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_Toc22020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9360A5">
      <w:pPr>
        <w:pStyle w:val="34"/>
        <w:tabs>
          <w:tab w:val="right" w:leader="dot" w:pos="8306"/>
        </w:tabs>
        <w:ind w:left="420"/>
        <w:rPr>
          <w:rFonts w:ascii="仿宋" w:hAnsi="仿宋" w:eastAsia="仿宋" w:cs="仿宋"/>
          <w:sz w:val="28"/>
          <w:szCs w:val="28"/>
        </w:rPr>
      </w:pPr>
      <w:r>
        <w:fldChar w:fldCharType="begin"/>
      </w:r>
      <w:r>
        <w:instrText xml:space="preserve"> HYPERLINK \l "_Toc31214"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_Toc31214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549F99">
      <w:pPr>
        <w:pStyle w:val="34"/>
        <w:tabs>
          <w:tab w:val="right" w:leader="dot" w:pos="8306"/>
        </w:tabs>
        <w:ind w:left="420"/>
        <w:rPr>
          <w:rFonts w:ascii="仿宋" w:hAnsi="仿宋" w:eastAsia="仿宋" w:cs="仿宋"/>
          <w:sz w:val="28"/>
          <w:szCs w:val="28"/>
        </w:rPr>
      </w:pPr>
      <w:r>
        <w:fldChar w:fldCharType="begin"/>
      </w:r>
      <w:r>
        <w:instrText xml:space="preserve"> HYPERLINK \l "_Toc8098"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_Toc8098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439721">
      <w:pPr>
        <w:pStyle w:val="34"/>
        <w:tabs>
          <w:tab w:val="right" w:leader="dot" w:pos="8306"/>
        </w:tabs>
        <w:ind w:left="420"/>
      </w:pPr>
      <w:r>
        <w:fldChar w:fldCharType="begin"/>
      </w:r>
      <w:r>
        <w:instrText xml:space="preserve"> HYPERLINK \l "_Toc6939"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_Toc6939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1450BD">
      <w:pPr>
        <w:pStyle w:val="33"/>
        <w:tabs>
          <w:tab w:val="right" w:leader="dot" w:pos="8306"/>
        </w:tabs>
        <w:rPr>
          <w:b/>
        </w:rPr>
      </w:pPr>
      <w:r>
        <w:fldChar w:fldCharType="begin"/>
      </w:r>
      <w:r>
        <w:instrText xml:space="preserve"> HYPERLINK \l "_Toc16416" </w:instrText>
      </w:r>
      <w:r>
        <w:fldChar w:fldCharType="separate"/>
      </w:r>
      <w:r>
        <w:rPr>
          <w:rFonts w:hint="eastAsia" w:ascii="仿宋" w:hAnsi="仿宋" w:eastAsia="仿宋" w:cs="仿宋"/>
          <w:b/>
          <w:sz w:val="28"/>
          <w:szCs w:val="28"/>
        </w:rPr>
        <w:t>第三部分 名词解释</w:t>
      </w:r>
      <w:r>
        <w:rPr>
          <w:b/>
        </w:rPr>
        <w:tab/>
      </w:r>
      <w:r>
        <w:rPr>
          <w:b/>
        </w:rPr>
        <w:fldChar w:fldCharType="begin"/>
      </w:r>
      <w:r>
        <w:rPr>
          <w:b/>
        </w:rPr>
        <w:instrText xml:space="preserve"> PAGEREF _Toc16416 </w:instrText>
      </w:r>
      <w:r>
        <w:rPr>
          <w:b/>
        </w:rPr>
        <w:fldChar w:fldCharType="separate"/>
      </w:r>
      <w:r>
        <w:rPr>
          <w:b/>
        </w:rPr>
        <w:t>21</w:t>
      </w:r>
      <w:r>
        <w:rPr>
          <w:b/>
        </w:rPr>
        <w:fldChar w:fldCharType="end"/>
      </w:r>
      <w:r>
        <w:rPr>
          <w:b/>
        </w:rPr>
        <w:fldChar w:fldCharType="end"/>
      </w:r>
    </w:p>
    <w:p w14:paraId="08C32C72">
      <w:pPr>
        <w:pStyle w:val="33"/>
        <w:tabs>
          <w:tab w:val="right" w:leader="dot" w:pos="8306"/>
        </w:tabs>
        <w:rPr>
          <w:b/>
        </w:rPr>
      </w:pPr>
      <w:r>
        <w:fldChar w:fldCharType="begin"/>
      </w:r>
      <w:r>
        <w:instrText xml:space="preserve"> HYPERLINK \l "_Toc13108" </w:instrText>
      </w:r>
      <w:r>
        <w:fldChar w:fldCharType="separate"/>
      </w:r>
      <w:r>
        <w:rPr>
          <w:rFonts w:hint="eastAsia" w:ascii="仿宋" w:hAnsi="仿宋" w:eastAsia="仿宋" w:cs="仿宋"/>
          <w:b/>
          <w:sz w:val="28"/>
          <w:szCs w:val="28"/>
        </w:rPr>
        <w:t>第四部分 附件</w:t>
      </w:r>
      <w:r>
        <w:rPr>
          <w:b/>
        </w:rPr>
        <w:tab/>
      </w:r>
      <w:r>
        <w:rPr>
          <w:b/>
        </w:rPr>
        <w:fldChar w:fldCharType="begin"/>
      </w:r>
      <w:r>
        <w:rPr>
          <w:b/>
        </w:rPr>
        <w:instrText xml:space="preserve"> PAGEREF _Toc13108 </w:instrText>
      </w:r>
      <w:r>
        <w:rPr>
          <w:b/>
        </w:rPr>
        <w:fldChar w:fldCharType="separate"/>
      </w:r>
      <w:r>
        <w:rPr>
          <w:b/>
        </w:rPr>
        <w:t>25</w:t>
      </w:r>
      <w:r>
        <w:rPr>
          <w:b/>
        </w:rPr>
        <w:fldChar w:fldCharType="end"/>
      </w:r>
      <w:r>
        <w:rPr>
          <w:b/>
        </w:rPr>
        <w:fldChar w:fldCharType="end"/>
      </w:r>
    </w:p>
    <w:p w14:paraId="645420EC">
      <w:pPr>
        <w:pStyle w:val="33"/>
        <w:tabs>
          <w:tab w:val="right" w:leader="dot" w:pos="8306"/>
        </w:tabs>
        <w:ind w:firstLine="400" w:firstLineChars="200"/>
        <w:rPr>
          <w:b/>
        </w:rPr>
      </w:pPr>
      <w:r>
        <w:fldChar w:fldCharType="begin"/>
      </w:r>
      <w:r>
        <w:instrText xml:space="preserve"> HYPERLINK \l "_Toc31296" </w:instrText>
      </w:r>
      <w:r>
        <w:fldChar w:fldCharType="separate"/>
      </w:r>
      <w:r>
        <w:rPr>
          <w:rFonts w:hint="eastAsia" w:ascii="仿宋" w:hAnsi="仿宋" w:eastAsia="仿宋" w:cs="仿宋"/>
          <w:b/>
          <w:sz w:val="28"/>
          <w:szCs w:val="28"/>
        </w:rPr>
        <w:t>附件1</w:t>
      </w:r>
      <w:r>
        <w:rPr>
          <w:b/>
        </w:rPr>
        <w:tab/>
      </w:r>
      <w:r>
        <w:rPr>
          <w:b/>
        </w:rPr>
        <w:fldChar w:fldCharType="begin"/>
      </w:r>
      <w:r>
        <w:rPr>
          <w:b/>
        </w:rPr>
        <w:instrText xml:space="preserve"> PAGEREF _Toc31296 </w:instrText>
      </w:r>
      <w:r>
        <w:rPr>
          <w:b/>
        </w:rPr>
        <w:fldChar w:fldCharType="separate"/>
      </w:r>
      <w:r>
        <w:rPr>
          <w:b/>
        </w:rPr>
        <w:t>25</w:t>
      </w:r>
      <w:r>
        <w:rPr>
          <w:b/>
        </w:rPr>
        <w:fldChar w:fldCharType="end"/>
      </w:r>
      <w:r>
        <w:rPr>
          <w:b/>
        </w:rPr>
        <w:fldChar w:fldCharType="end"/>
      </w:r>
    </w:p>
    <w:p w14:paraId="2CAA8FEB">
      <w:pPr>
        <w:pStyle w:val="33"/>
        <w:tabs>
          <w:tab w:val="right" w:leader="dot" w:pos="8306"/>
        </w:tabs>
        <w:rPr>
          <w:b/>
        </w:rPr>
      </w:pPr>
      <w:r>
        <w:fldChar w:fldCharType="begin"/>
      </w:r>
      <w:r>
        <w:instrText xml:space="preserve"> HYPERLINK \l "_Toc26979" </w:instrText>
      </w:r>
      <w:r>
        <w:fldChar w:fldCharType="separate"/>
      </w:r>
      <w:r>
        <w:rPr>
          <w:rFonts w:hint="eastAsia" w:ascii="仿宋" w:hAnsi="仿宋" w:eastAsia="仿宋" w:cs="仿宋"/>
          <w:b/>
          <w:sz w:val="28"/>
          <w:szCs w:val="28"/>
        </w:rPr>
        <w:t>第五部分 附表</w:t>
      </w:r>
      <w:r>
        <w:rPr>
          <w:b/>
        </w:rPr>
        <w:tab/>
      </w:r>
      <w:r>
        <w:rPr>
          <w:b/>
        </w:rPr>
        <w:fldChar w:fldCharType="begin"/>
      </w:r>
      <w:r>
        <w:rPr>
          <w:b/>
        </w:rPr>
        <w:instrText xml:space="preserve"> PAGEREF _Toc26979 </w:instrText>
      </w:r>
      <w:r>
        <w:rPr>
          <w:b/>
        </w:rPr>
        <w:fldChar w:fldCharType="separate"/>
      </w:r>
      <w:r>
        <w:rPr>
          <w:b/>
        </w:rPr>
        <w:t>35</w:t>
      </w:r>
      <w:r>
        <w:rPr>
          <w:b/>
        </w:rPr>
        <w:fldChar w:fldCharType="end"/>
      </w:r>
      <w:r>
        <w:rPr>
          <w:b/>
        </w:rPr>
        <w:fldChar w:fldCharType="end"/>
      </w:r>
    </w:p>
    <w:p w14:paraId="1204D001">
      <w:pPr>
        <w:pStyle w:val="34"/>
        <w:tabs>
          <w:tab w:val="right" w:leader="dot" w:pos="8306"/>
        </w:tabs>
        <w:ind w:left="420"/>
        <w:rPr>
          <w:rFonts w:ascii="仿宋" w:hAnsi="仿宋" w:eastAsia="仿宋" w:cs="仿宋"/>
          <w:sz w:val="28"/>
          <w:szCs w:val="28"/>
        </w:rPr>
      </w:pPr>
      <w:r>
        <w:fldChar w:fldCharType="begin"/>
      </w:r>
      <w:r>
        <w:instrText xml:space="preserve"> HYPERLINK \l "_Toc30783"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_Toc30783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1F2942">
      <w:pPr>
        <w:pStyle w:val="34"/>
        <w:tabs>
          <w:tab w:val="right" w:leader="dot" w:pos="8306"/>
        </w:tabs>
        <w:ind w:left="420"/>
        <w:rPr>
          <w:rFonts w:ascii="仿宋" w:hAnsi="仿宋" w:eastAsia="仿宋" w:cs="仿宋"/>
          <w:sz w:val="28"/>
          <w:szCs w:val="28"/>
        </w:rPr>
      </w:pPr>
      <w:r>
        <w:fldChar w:fldCharType="begin"/>
      </w:r>
      <w:r>
        <w:instrText xml:space="preserve"> HYPERLINK \l "_Toc31207"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_Toc31207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0EEA35">
      <w:pPr>
        <w:pStyle w:val="34"/>
        <w:tabs>
          <w:tab w:val="right" w:leader="dot" w:pos="8306"/>
        </w:tabs>
        <w:ind w:left="420"/>
        <w:rPr>
          <w:rFonts w:ascii="仿宋" w:hAnsi="仿宋" w:eastAsia="仿宋" w:cs="仿宋"/>
          <w:sz w:val="28"/>
          <w:szCs w:val="28"/>
        </w:rPr>
      </w:pPr>
      <w:r>
        <w:fldChar w:fldCharType="begin"/>
      </w:r>
      <w:r>
        <w:instrText xml:space="preserve"> HYPERLINK \l "_Toc4390"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_Toc4390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FD8B17">
      <w:pPr>
        <w:pStyle w:val="34"/>
        <w:tabs>
          <w:tab w:val="right" w:leader="dot" w:pos="8306"/>
        </w:tabs>
        <w:ind w:left="420"/>
        <w:rPr>
          <w:rFonts w:ascii="仿宋" w:hAnsi="仿宋" w:eastAsia="仿宋" w:cs="仿宋"/>
          <w:sz w:val="28"/>
          <w:szCs w:val="28"/>
        </w:rPr>
      </w:pPr>
      <w:r>
        <w:fldChar w:fldCharType="begin"/>
      </w:r>
      <w:r>
        <w:instrText xml:space="preserve"> HYPERLINK \l "_Toc16879"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_Toc16879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1C8BCC">
      <w:pPr>
        <w:pStyle w:val="34"/>
        <w:tabs>
          <w:tab w:val="right" w:leader="dot" w:pos="8306"/>
        </w:tabs>
        <w:ind w:left="420"/>
        <w:rPr>
          <w:rFonts w:ascii="仿宋" w:hAnsi="仿宋" w:eastAsia="仿宋" w:cs="仿宋"/>
          <w:sz w:val="28"/>
          <w:szCs w:val="28"/>
        </w:rPr>
      </w:pPr>
      <w:r>
        <w:fldChar w:fldCharType="begin"/>
      </w:r>
      <w:r>
        <w:instrText xml:space="preserve"> HYPERLINK \l "_Toc10871"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_Toc10871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67408A">
      <w:pPr>
        <w:pStyle w:val="34"/>
        <w:tabs>
          <w:tab w:val="right" w:leader="dot" w:pos="8306"/>
        </w:tabs>
        <w:ind w:left="420"/>
        <w:rPr>
          <w:rFonts w:ascii="仿宋" w:hAnsi="仿宋" w:eastAsia="仿宋" w:cs="仿宋"/>
          <w:sz w:val="28"/>
          <w:szCs w:val="28"/>
        </w:rPr>
      </w:pPr>
      <w:r>
        <w:fldChar w:fldCharType="begin"/>
      </w:r>
      <w:r>
        <w:instrText xml:space="preserve"> HYPERLINK \l "_Toc9451"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_Toc9451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D61F4B1">
      <w:pPr>
        <w:pStyle w:val="34"/>
        <w:tabs>
          <w:tab w:val="right" w:leader="dot" w:pos="8306"/>
        </w:tabs>
        <w:ind w:left="420"/>
        <w:rPr>
          <w:rFonts w:ascii="仿宋" w:hAnsi="仿宋" w:eastAsia="仿宋" w:cs="仿宋"/>
          <w:sz w:val="28"/>
          <w:szCs w:val="28"/>
        </w:rPr>
      </w:pPr>
      <w:r>
        <w:fldChar w:fldCharType="begin"/>
      </w:r>
      <w:r>
        <w:instrText xml:space="preserve"> HYPERLINK \l "_Toc27482"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_Toc27482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B2A61C">
      <w:pPr>
        <w:pStyle w:val="34"/>
        <w:tabs>
          <w:tab w:val="right" w:leader="dot" w:pos="8306"/>
        </w:tabs>
        <w:ind w:left="420"/>
        <w:rPr>
          <w:rFonts w:ascii="仿宋" w:hAnsi="仿宋" w:eastAsia="仿宋" w:cs="仿宋"/>
          <w:sz w:val="28"/>
          <w:szCs w:val="28"/>
        </w:rPr>
      </w:pPr>
      <w:r>
        <w:fldChar w:fldCharType="begin"/>
      </w:r>
      <w:r>
        <w:instrText xml:space="preserve"> HYPERLINK \l "_Toc16599"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_Toc16599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3EB089">
      <w:pPr>
        <w:pStyle w:val="34"/>
        <w:tabs>
          <w:tab w:val="right" w:leader="dot" w:pos="8306"/>
        </w:tabs>
        <w:ind w:left="420"/>
        <w:rPr>
          <w:rFonts w:ascii="仿宋" w:hAnsi="仿宋" w:eastAsia="仿宋" w:cs="仿宋"/>
          <w:sz w:val="28"/>
          <w:szCs w:val="28"/>
        </w:rPr>
      </w:pPr>
      <w:r>
        <w:fldChar w:fldCharType="begin"/>
      </w:r>
      <w:r>
        <w:instrText xml:space="preserve"> HYPERLINK \l "_Toc10100"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_Toc10100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2324F6">
      <w:pPr>
        <w:pStyle w:val="34"/>
        <w:tabs>
          <w:tab w:val="right" w:leader="dot" w:pos="8306"/>
        </w:tabs>
        <w:ind w:left="420"/>
        <w:rPr>
          <w:rFonts w:ascii="仿宋" w:hAnsi="仿宋" w:eastAsia="仿宋" w:cs="仿宋"/>
          <w:sz w:val="28"/>
          <w:szCs w:val="28"/>
        </w:rPr>
      </w:pPr>
      <w:r>
        <w:fldChar w:fldCharType="begin"/>
      </w:r>
      <w:r>
        <w:instrText xml:space="preserve"> HYPERLINK \l "_Toc23057"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_Toc23057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C3C9FD">
      <w:pPr>
        <w:pStyle w:val="34"/>
        <w:tabs>
          <w:tab w:val="right" w:leader="dot" w:pos="8306"/>
        </w:tabs>
        <w:ind w:left="420"/>
        <w:rPr>
          <w:rFonts w:ascii="仿宋" w:hAnsi="仿宋" w:eastAsia="仿宋" w:cs="仿宋"/>
          <w:sz w:val="28"/>
          <w:szCs w:val="28"/>
        </w:rPr>
      </w:pPr>
      <w:r>
        <w:fldChar w:fldCharType="begin"/>
      </w:r>
      <w:r>
        <w:instrText xml:space="preserve"> HYPERLINK \l "_Toc31687"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_Toc31687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AC3BD5">
      <w:pPr>
        <w:pStyle w:val="34"/>
        <w:tabs>
          <w:tab w:val="right" w:leader="dot" w:pos="8306"/>
        </w:tabs>
        <w:ind w:left="420"/>
        <w:rPr>
          <w:rFonts w:ascii="仿宋" w:hAnsi="仿宋" w:eastAsia="仿宋" w:cs="仿宋"/>
          <w:sz w:val="28"/>
          <w:szCs w:val="28"/>
        </w:rPr>
      </w:pPr>
      <w:r>
        <w:rPr>
          <w:rFonts w:hint="eastAsia" w:ascii="仿宋" w:hAnsi="仿宋" w:eastAsia="仿宋" w:cs="仿宋"/>
          <w:sz w:val="28"/>
          <w:szCs w:val="28"/>
        </w:rPr>
        <w:t>十二、</w:t>
      </w:r>
      <w:r>
        <w:rPr>
          <w:rStyle w:val="27"/>
          <w:rFonts w:hint="eastAsia" w:ascii="仿宋" w:hAnsi="仿宋" w:eastAsia="仿宋"/>
          <w:b w:val="0"/>
          <w:bCs w:val="0"/>
          <w:sz w:val="28"/>
          <w:szCs w:val="28"/>
        </w:rPr>
        <w:t>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_Toc31687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p>
    <w:p w14:paraId="13022BD6">
      <w:pPr>
        <w:pStyle w:val="34"/>
        <w:tabs>
          <w:tab w:val="right" w:leader="dot" w:pos="8306"/>
        </w:tabs>
        <w:ind w:left="420"/>
        <w:rPr>
          <w:rFonts w:ascii="仿宋" w:hAnsi="仿宋" w:eastAsia="仿宋" w:cs="仿宋"/>
          <w:sz w:val="28"/>
          <w:szCs w:val="28"/>
        </w:rPr>
      </w:pPr>
      <w:r>
        <w:rPr>
          <w:rFonts w:hint="eastAsia" w:ascii="仿宋" w:hAnsi="仿宋" w:eastAsia="仿宋" w:cs="仿宋"/>
          <w:sz w:val="28"/>
          <w:szCs w:val="28"/>
        </w:rPr>
        <w:t>十三、国有资本经营预算支出表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_Toc31687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p>
    <w:p w14:paraId="49EEB3F4">
      <w:r>
        <w:rPr>
          <w:b/>
        </w:rPr>
        <w:fldChar w:fldCharType="end"/>
      </w:r>
    </w:p>
    <w:p w14:paraId="496BA66C">
      <w:pPr>
        <w:pStyle w:val="2"/>
      </w:pPr>
      <w:bookmarkStart w:id="15" w:name="_Toc15377196"/>
      <w:bookmarkStart w:id="16" w:name="_Toc2995"/>
      <w:bookmarkStart w:id="17" w:name="_Toc15396599"/>
    </w:p>
    <w:p w14:paraId="3BECA3E5">
      <w:pPr>
        <w:pStyle w:val="2"/>
      </w:pPr>
    </w:p>
    <w:p w14:paraId="64C6B4CE"/>
    <w:p w14:paraId="3B61ABF7"/>
    <w:p w14:paraId="25C453CA">
      <w:pPr>
        <w:pStyle w:val="2"/>
        <w:jc w:val="center"/>
        <w:rPr>
          <w:rFonts w:ascii="黑体" w:hAnsi="黑体" w:eastAsia="黑体" w:cs="黑体"/>
          <w:b w:val="0"/>
          <w:bCs w:val="0"/>
        </w:rPr>
      </w:pPr>
    </w:p>
    <w:p w14:paraId="14009485">
      <w:pPr>
        <w:pStyle w:val="2"/>
        <w:jc w:val="center"/>
        <w:rPr>
          <w:rFonts w:ascii="黑体" w:hAnsi="黑体" w:eastAsia="黑体" w:cs="黑体"/>
          <w:b w:val="0"/>
          <w:bCs w:val="0"/>
        </w:rPr>
      </w:pPr>
    </w:p>
    <w:p w14:paraId="39C227DD">
      <w:pPr>
        <w:pStyle w:val="2"/>
        <w:jc w:val="center"/>
        <w:rPr>
          <w:rFonts w:ascii="黑体" w:hAnsi="黑体" w:eastAsia="黑体" w:cs="黑体"/>
          <w:b w:val="0"/>
          <w:bCs w:val="0"/>
        </w:rPr>
      </w:pPr>
      <w:r>
        <w:rPr>
          <w:rFonts w:hint="eastAsia" w:ascii="黑体" w:hAnsi="黑体" w:eastAsia="黑体" w:cs="黑体"/>
          <w:b w:val="0"/>
          <w:bCs w:val="0"/>
        </w:rPr>
        <w:t>第一部分 部门概况</w:t>
      </w:r>
      <w:bookmarkEnd w:id="15"/>
      <w:bookmarkEnd w:id="16"/>
      <w:bookmarkEnd w:id="17"/>
    </w:p>
    <w:p w14:paraId="0225B22F">
      <w:pPr>
        <w:widowControl/>
        <w:jc w:val="left"/>
        <w:rPr>
          <w:rFonts w:ascii="黑体" w:eastAsia="黑体"/>
          <w:color w:val="000000"/>
          <w:sz w:val="32"/>
          <w:szCs w:val="32"/>
        </w:rPr>
      </w:pPr>
    </w:p>
    <w:p w14:paraId="4340CAF4">
      <w:pPr>
        <w:pStyle w:val="3"/>
        <w:rPr>
          <w:rFonts w:ascii="黑体" w:hAnsi="黑体" w:eastAsia="黑体" w:cs="黑体"/>
          <w:b w:val="0"/>
          <w:bCs w:val="0"/>
        </w:rPr>
      </w:pPr>
      <w:bookmarkStart w:id="18" w:name="_Toc9798"/>
      <w:bookmarkStart w:id="19" w:name="_Toc15396600"/>
      <w:bookmarkStart w:id="20" w:name="_Toc15377197"/>
      <w:r>
        <w:rPr>
          <w:rFonts w:hint="eastAsia" w:ascii="黑体" w:hAnsi="黑体" w:eastAsia="黑体" w:cs="黑体"/>
          <w:b w:val="0"/>
          <w:bCs w:val="0"/>
        </w:rPr>
        <w:t>一、基本职能及主要工作</w:t>
      </w:r>
      <w:bookmarkEnd w:id="18"/>
      <w:bookmarkEnd w:id="19"/>
      <w:bookmarkEnd w:id="20"/>
    </w:p>
    <w:p w14:paraId="1FB3C15E">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1" w:name="_Toc15378445"/>
      <w:bookmarkStart w:id="22" w:name="_Toc15377198"/>
      <w:r>
        <w:rPr>
          <w:rFonts w:hint="eastAsia" w:ascii="仿宋" w:hAnsi="仿宋" w:eastAsia="仿宋"/>
          <w:bCs/>
          <w:color w:val="000000"/>
          <w:sz w:val="32"/>
          <w:szCs w:val="32"/>
        </w:rPr>
        <w:t>（一）主要职能。</w:t>
      </w:r>
    </w:p>
    <w:p w14:paraId="3929068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做好高新区土地储备工作，并负责园区基础设施建设和维护。促进高新区的建设和发展，负责高新区内土地的收回、收购、置换、征用并进行前期开发、整理、储备等工作，并承担党工委、管委会交办的其他工作任务。</w:t>
      </w:r>
    </w:p>
    <w:bookmarkEnd w:id="21"/>
    <w:bookmarkEnd w:id="22"/>
    <w:p w14:paraId="78E3E4F5">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3" w:name="_Toc15378446"/>
      <w:bookmarkStart w:id="24"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3"/>
      <w:bookmarkEnd w:id="24"/>
    </w:p>
    <w:p w14:paraId="1982A1A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一是加强土地规划管理。</w:t>
      </w:r>
    </w:p>
    <w:p w14:paraId="3E11F7C9">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按照市委、市政府和高新区管委会的工作部署，结合“挂图作战”项目用地要求，完成乐山高新区总部经济区控制性详细规划编制工作，配合市上启动高新区空间规划编制工作，完成涉及数字经济产业园项目、乐山高新区基础设施及配套工程等项目约2000亩土地利用总体规划调整方案及全市规划编制，并通过省厅审查，上报省政府待批。</w:t>
      </w:r>
    </w:p>
    <w:p w14:paraId="167DA94E">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二是做好建设项目规划审批工作。</w:t>
      </w:r>
    </w:p>
    <w:p w14:paraId="45A64C1F">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完成乐山高新区基础设施及配套工程等10余个总部经济区项目设计方案审批。组织乐山高新区城乡规划专家评审委员会议9次，审议议题96个；组织乐山高新区城乡规划委员会议7次，审议议题57件次。出具规划条件20份，办理建设项目选址意见书11份，建设用地规划许可证13份，建设工程规划许可证13份。积极衔接协调省厅，完成了高速四分局项目《建设项目选址意见书》的办理。</w:t>
      </w:r>
    </w:p>
    <w:p w14:paraId="584185F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三是及时组织土地报征。</w:t>
      </w:r>
    </w:p>
    <w:p w14:paraId="0FE1F20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完成乐山市2019年10、11、12、13批城市建设用地共约1630亩报批工作，已取得省政府批复，确保重点项目落地。完成乐山市2019年第11、12、13、14、15批约2500亩城市建设用地的组卷工作，并顺利上报省厅审查。</w:t>
      </w:r>
    </w:p>
    <w:p w14:paraId="361512A9">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四是加快推进土地供应，提高土地利用率。</w:t>
      </w:r>
    </w:p>
    <w:p w14:paraId="447F70E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认真制定2019年土地出让计划，按照节约集约用地的原则，全年完成土地供应共1163亩，其中菩提塔院项目330亩、高新区基础设施及配套工程建设项目五条道路304亩、龙口台地71亩商住用地、数字经济产业园248亩、新区医院140亩、嘉域香楠50亩。</w:t>
      </w:r>
    </w:p>
    <w:p w14:paraId="3E777288">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五是顺利完成批而未供和闲置土地处置工作任务。</w:t>
      </w:r>
    </w:p>
    <w:p w14:paraId="519F9C5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2019年完成17.8641公顷土地供应工作，现系统中批而未供面积为51.6459公顷，达到省厅下达的不高于52.13公顷的目标任务。按照市局下发的高新区闲置土地共10宗，面积30.927公顷，闲置土地处置已完成10.59828公顷，处置率为34.27%，圆满完成省厅下达的目标任务。</w:t>
      </w:r>
    </w:p>
    <w:p w14:paraId="5499431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六是积极推进土地储备工作。</w:t>
      </w:r>
    </w:p>
    <w:p w14:paraId="6299F1D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制定、完善2019年乐山高新区企业土地腾退工作计划，完成14宗共1219亩土地收储工作并经市政府批复同意；完成土地置换1宗（乐山移动分公司35.61亩）；完成17宗土地测绘并开展收储评估工作。完成了新增报批1630亩土地入库工作和1250亩储备土地出库。2019年包装发行土地储备专项债券项目一个已入库，发行总费用3.7亿元，3月份发行1亿元资金已到位。</w:t>
      </w:r>
      <w:bookmarkStart w:id="25" w:name="_Toc15377200"/>
      <w:bookmarkStart w:id="26" w:name="_Toc17060"/>
      <w:bookmarkStart w:id="27" w:name="_Toc15396601"/>
    </w:p>
    <w:bookmarkEnd w:id="25"/>
    <w:bookmarkEnd w:id="26"/>
    <w:bookmarkEnd w:id="27"/>
    <w:p w14:paraId="6607691C">
      <w:pPr>
        <w:pStyle w:val="5"/>
        <w:adjustRightInd w:val="0"/>
        <w:snapToGrid w:val="0"/>
        <w:spacing w:before="93" w:line="600" w:lineRule="exact"/>
        <w:outlineLvl w:val="2"/>
        <w:rPr>
          <w:rFonts w:ascii="黑体" w:hAnsi="黑体" w:eastAsia="黑体" w:cs="黑体"/>
        </w:rPr>
      </w:pPr>
      <w:bookmarkStart w:id="28" w:name="_Toc2358"/>
      <w:bookmarkStart w:id="29" w:name="_Toc15377204"/>
      <w:bookmarkStart w:id="30" w:name="_Toc15396602"/>
      <w:r>
        <w:rPr>
          <w:rFonts w:hint="eastAsia" w:ascii="黑体" w:hAnsi="黑体" w:eastAsia="黑体" w:cs="黑体"/>
        </w:rPr>
        <w:t>二、机构设置</w:t>
      </w:r>
    </w:p>
    <w:p w14:paraId="173C3007">
      <w:pPr>
        <w:ind w:firstLine="800" w:firstLineChars="250"/>
        <w:rPr>
          <w:rFonts w:ascii="仿宋" w:hAnsi="仿宋" w:eastAsia="仿宋"/>
          <w:sz w:val="32"/>
          <w:szCs w:val="32"/>
        </w:rPr>
      </w:pPr>
      <w:r>
        <w:rPr>
          <w:rFonts w:hint="eastAsia" w:ascii="仿宋" w:hAnsi="仿宋" w:eastAsia="仿宋"/>
          <w:sz w:val="32"/>
          <w:szCs w:val="32"/>
        </w:rPr>
        <w:t>乐山高新技术产业开发区土地储备中心(本级)下属二级单位0个，其中行政单位0个，参照公务员法管理的事业单位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14:paraId="57F0939D">
      <w:pPr>
        <w:pStyle w:val="2"/>
        <w:jc w:val="center"/>
        <w:rPr>
          <w:rFonts w:ascii="黑体" w:hAnsi="黑体" w:eastAsia="黑体" w:cs="黑体"/>
          <w:b w:val="0"/>
          <w:bCs w:val="0"/>
        </w:rPr>
      </w:pPr>
    </w:p>
    <w:p w14:paraId="39FB5193">
      <w:pPr>
        <w:pStyle w:val="2"/>
        <w:jc w:val="center"/>
        <w:rPr>
          <w:rFonts w:ascii="黑体" w:hAnsi="黑体" w:eastAsia="黑体" w:cs="黑体"/>
          <w:b w:val="0"/>
          <w:bCs w:val="0"/>
        </w:rPr>
      </w:pPr>
    </w:p>
    <w:p w14:paraId="2A5DFFAE">
      <w:pPr>
        <w:pStyle w:val="2"/>
        <w:jc w:val="center"/>
        <w:rPr>
          <w:rFonts w:ascii="黑体" w:hAnsi="黑体" w:eastAsia="黑体" w:cs="黑体"/>
          <w:b w:val="0"/>
          <w:bCs w:val="0"/>
          <w:sz w:val="22"/>
          <w:szCs w:val="22"/>
        </w:rPr>
      </w:pPr>
    </w:p>
    <w:p w14:paraId="1A0BCFE8"/>
    <w:p w14:paraId="105A612C">
      <w:pPr>
        <w:pStyle w:val="2"/>
        <w:jc w:val="center"/>
        <w:rPr>
          <w:rFonts w:ascii="黑体" w:hAnsi="黑体" w:eastAsia="黑体" w:cs="黑体"/>
          <w:b w:val="0"/>
          <w:bCs w:val="0"/>
        </w:rPr>
      </w:pPr>
      <w:r>
        <w:rPr>
          <w:rFonts w:hint="eastAsia" w:ascii="黑体" w:hAnsi="黑体" w:eastAsia="黑体" w:cs="黑体"/>
          <w:b w:val="0"/>
          <w:bCs w:val="0"/>
        </w:rPr>
        <w:t>第二部分 2019年度部门决算情况说明</w:t>
      </w:r>
      <w:bookmarkEnd w:id="28"/>
      <w:bookmarkEnd w:id="29"/>
      <w:bookmarkEnd w:id="30"/>
    </w:p>
    <w:p w14:paraId="5368554C"/>
    <w:p w14:paraId="5B54668A">
      <w:pPr>
        <w:pStyle w:val="3"/>
        <w:ind w:firstLine="640" w:firstLineChars="200"/>
        <w:rPr>
          <w:rFonts w:ascii="黑体" w:hAnsi="黑体" w:eastAsia="黑体" w:cs="黑体"/>
          <w:b w:val="0"/>
          <w:bCs w:val="0"/>
        </w:rPr>
      </w:pPr>
      <w:bookmarkStart w:id="31" w:name="_Toc15377205"/>
      <w:bookmarkStart w:id="32" w:name="_Toc689"/>
      <w:bookmarkStart w:id="33" w:name="_Toc15396603"/>
      <w:r>
        <w:rPr>
          <w:rFonts w:hint="eastAsia" w:ascii="黑体" w:hAnsi="黑体" w:eastAsia="黑体" w:cs="黑体"/>
          <w:b w:val="0"/>
          <w:bCs w:val="0"/>
        </w:rPr>
        <w:t>一、收入支出决算总体情况说明</w:t>
      </w:r>
      <w:bookmarkEnd w:id="31"/>
      <w:bookmarkEnd w:id="32"/>
      <w:bookmarkEnd w:id="33"/>
    </w:p>
    <w:p w14:paraId="2743A642">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2019年度收入总计35727.66万元、支出总计30768.88万元。与2019年相比，收入减少33396.30万元，下降48.31%，支出总计减少55890.75万元，下降64.49</w:t>
      </w:r>
      <w:r>
        <w:rPr>
          <w:rFonts w:ascii="仿宋" w:hAnsi="仿宋" w:eastAsia="仿宋"/>
          <w:color w:val="000000"/>
          <w:sz w:val="32"/>
          <w:szCs w:val="32"/>
        </w:rPr>
        <w:t>%</w:t>
      </w:r>
      <w:r>
        <w:rPr>
          <w:rFonts w:hint="eastAsia" w:ascii="仿宋" w:hAnsi="仿宋" w:eastAsia="仿宋"/>
          <w:color w:val="000000"/>
          <w:sz w:val="32"/>
          <w:szCs w:val="32"/>
        </w:rPr>
        <w:t>。主要变动原因是减少置换债券收入3.7亿元，新增被征地农民社保欠费清缴6687万元，减少嘉祥实验学校3600万元；减少置换债券收入3.7亿元，新增被征地农民社保欠费清缴1728万元，减少嘉祥实验学校3600万元、减少收储、征拆补偿经费1.7亿元。</w:t>
      </w:r>
    </w:p>
    <w:p w14:paraId="72582EF7">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59264" behindDoc="0" locked="0" layoutInCell="1" allowOverlap="1">
            <wp:simplePos x="0" y="0"/>
            <wp:positionH relativeFrom="column">
              <wp:posOffset>528320</wp:posOffset>
            </wp:positionH>
            <wp:positionV relativeFrom="paragraph">
              <wp:posOffset>290195</wp:posOffset>
            </wp:positionV>
            <wp:extent cx="4088765" cy="3344545"/>
            <wp:effectExtent l="4445" t="4445" r="21590" b="8001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7331AF57">
      <w:pPr>
        <w:spacing w:line="600" w:lineRule="exact"/>
        <w:ind w:firstLine="640" w:firstLineChars="200"/>
        <w:rPr>
          <w:rFonts w:ascii="仿宋" w:hAnsi="仿宋" w:eastAsia="仿宋"/>
          <w:color w:val="000000"/>
          <w:sz w:val="32"/>
          <w:szCs w:val="32"/>
        </w:rPr>
      </w:pPr>
    </w:p>
    <w:p w14:paraId="5C22002B">
      <w:pPr>
        <w:spacing w:line="600" w:lineRule="exact"/>
        <w:ind w:firstLine="640" w:firstLineChars="200"/>
        <w:rPr>
          <w:rFonts w:ascii="仿宋" w:hAnsi="仿宋" w:eastAsia="仿宋"/>
          <w:color w:val="000000"/>
          <w:sz w:val="32"/>
          <w:szCs w:val="32"/>
        </w:rPr>
      </w:pPr>
    </w:p>
    <w:p w14:paraId="0EB5E382">
      <w:pPr>
        <w:spacing w:line="600" w:lineRule="exact"/>
        <w:ind w:firstLine="640" w:firstLineChars="200"/>
        <w:rPr>
          <w:rFonts w:ascii="仿宋" w:hAnsi="仿宋" w:eastAsia="仿宋"/>
          <w:color w:val="000000"/>
          <w:sz w:val="32"/>
          <w:szCs w:val="32"/>
        </w:rPr>
      </w:pPr>
    </w:p>
    <w:p w14:paraId="79C2D326">
      <w:pPr>
        <w:spacing w:line="600" w:lineRule="exact"/>
        <w:ind w:firstLine="640" w:firstLineChars="200"/>
        <w:rPr>
          <w:rFonts w:ascii="仿宋" w:hAnsi="仿宋" w:eastAsia="仿宋"/>
          <w:color w:val="000000"/>
          <w:sz w:val="32"/>
          <w:szCs w:val="32"/>
        </w:rPr>
      </w:pPr>
    </w:p>
    <w:p w14:paraId="04724FF8">
      <w:pPr>
        <w:spacing w:line="600" w:lineRule="exact"/>
        <w:ind w:firstLine="640" w:firstLineChars="200"/>
        <w:rPr>
          <w:rFonts w:ascii="仿宋" w:hAnsi="仿宋" w:eastAsia="仿宋"/>
          <w:color w:val="000000"/>
          <w:sz w:val="32"/>
          <w:szCs w:val="32"/>
        </w:rPr>
      </w:pPr>
    </w:p>
    <w:p w14:paraId="493FB188">
      <w:pPr>
        <w:spacing w:line="600" w:lineRule="exact"/>
        <w:ind w:firstLine="640" w:firstLineChars="200"/>
        <w:rPr>
          <w:rFonts w:ascii="仿宋" w:hAnsi="仿宋" w:eastAsia="仿宋"/>
          <w:color w:val="000000"/>
          <w:sz w:val="32"/>
          <w:szCs w:val="32"/>
        </w:rPr>
      </w:pPr>
    </w:p>
    <w:p w14:paraId="2EBE2D08">
      <w:pPr>
        <w:spacing w:line="600" w:lineRule="exact"/>
        <w:ind w:firstLine="640" w:firstLineChars="200"/>
        <w:rPr>
          <w:rFonts w:ascii="仿宋" w:hAnsi="仿宋" w:eastAsia="仿宋"/>
          <w:color w:val="000000"/>
          <w:sz w:val="32"/>
          <w:szCs w:val="32"/>
        </w:rPr>
      </w:pPr>
    </w:p>
    <w:p w14:paraId="29F4CE51">
      <w:pPr>
        <w:spacing w:line="600" w:lineRule="exact"/>
        <w:ind w:firstLine="640" w:firstLineChars="200"/>
        <w:rPr>
          <w:rFonts w:ascii="仿宋" w:hAnsi="仿宋" w:eastAsia="仿宋"/>
          <w:color w:val="000000"/>
          <w:sz w:val="32"/>
          <w:szCs w:val="32"/>
        </w:rPr>
      </w:pPr>
    </w:p>
    <w:p w14:paraId="0138ACB9">
      <w:pPr>
        <w:spacing w:line="600" w:lineRule="exact"/>
        <w:ind w:firstLine="640" w:firstLineChars="200"/>
        <w:rPr>
          <w:rFonts w:ascii="仿宋" w:hAnsi="仿宋" w:eastAsia="仿宋"/>
          <w:color w:val="000000" w:themeColor="text1"/>
          <w:sz w:val="32"/>
          <w:szCs w:val="32"/>
        </w:rPr>
      </w:pPr>
    </w:p>
    <w:p w14:paraId="648165F6">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14:paraId="21CADD66">
      <w:pPr>
        <w:spacing w:line="600" w:lineRule="exact"/>
        <w:ind w:firstLine="640" w:firstLineChars="200"/>
        <w:jc w:val="left"/>
        <w:rPr>
          <w:rFonts w:ascii="仿宋_GB2312" w:eastAsia="仿宋_GB2312"/>
          <w:color w:val="000000"/>
          <w:sz w:val="32"/>
          <w:szCs w:val="32"/>
        </w:rPr>
      </w:pPr>
    </w:p>
    <w:p w14:paraId="0D5925FA">
      <w:pPr>
        <w:pStyle w:val="3"/>
        <w:ind w:firstLine="640" w:firstLineChars="200"/>
        <w:rPr>
          <w:rFonts w:ascii="黑体" w:hAnsi="黑体" w:eastAsia="黑体" w:cs="黑体"/>
          <w:b w:val="0"/>
          <w:bCs w:val="0"/>
        </w:rPr>
      </w:pPr>
      <w:bookmarkStart w:id="34" w:name="_Toc15396604"/>
      <w:bookmarkStart w:id="35" w:name="_Toc15377206"/>
      <w:bookmarkStart w:id="36" w:name="_Toc3612"/>
      <w:r>
        <w:rPr>
          <w:rFonts w:hint="eastAsia" w:ascii="黑体" w:hAnsi="黑体" w:eastAsia="黑体" w:cs="黑体"/>
          <w:b w:val="0"/>
          <w:bCs w:val="0"/>
        </w:rPr>
        <w:t>二、收入决算情况说明</w:t>
      </w:r>
      <w:bookmarkEnd w:id="34"/>
      <w:bookmarkEnd w:id="35"/>
      <w:bookmarkEnd w:id="36"/>
    </w:p>
    <w:p w14:paraId="7A886975">
      <w:pPr>
        <w:spacing w:line="600" w:lineRule="exact"/>
        <w:ind w:firstLine="640" w:firstLineChars="200"/>
        <w:outlineLvl w:val="1"/>
        <w:rPr>
          <w:rFonts w:ascii="仿宋" w:hAnsi="仿宋" w:eastAsia="仿宋"/>
          <w:color w:val="000000"/>
          <w:sz w:val="32"/>
          <w:szCs w:val="32"/>
        </w:rPr>
      </w:pPr>
      <w:bookmarkStart w:id="37" w:name="_Toc9716"/>
      <w:r>
        <w:rPr>
          <w:rFonts w:ascii="仿宋" w:hAnsi="仿宋" w:eastAsia="仿宋"/>
          <w:color w:val="000000"/>
          <w:sz w:val="32"/>
          <w:szCs w:val="32"/>
        </w:rPr>
        <w:t>201</w:t>
      </w:r>
      <w:r>
        <w:rPr>
          <w:rFonts w:hint="eastAsia" w:ascii="仿宋" w:hAnsi="仿宋" w:eastAsia="仿宋"/>
          <w:color w:val="000000"/>
          <w:sz w:val="32"/>
          <w:szCs w:val="32"/>
        </w:rPr>
        <w:t>9年本年收入合计35727.66万元，其中：一般公共预算财政拨款收入10443.16万元，占29.23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；政府性基金预算财政拨款收入25284.50万元，占70.77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7"/>
    </w:p>
    <w:p w14:paraId="026D429E">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366395</wp:posOffset>
            </wp:positionH>
            <wp:positionV relativeFrom="paragraph">
              <wp:posOffset>233045</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AA4CF19">
      <w:pPr>
        <w:spacing w:line="600" w:lineRule="exact"/>
        <w:ind w:firstLine="640" w:firstLineChars="200"/>
        <w:rPr>
          <w:rFonts w:ascii="仿宋" w:hAnsi="仿宋" w:eastAsia="仿宋"/>
          <w:color w:val="000000"/>
          <w:sz w:val="32"/>
          <w:szCs w:val="32"/>
        </w:rPr>
      </w:pPr>
    </w:p>
    <w:p w14:paraId="0C037A9F">
      <w:pPr>
        <w:spacing w:line="600" w:lineRule="exact"/>
        <w:ind w:firstLine="640" w:firstLineChars="200"/>
        <w:rPr>
          <w:rFonts w:ascii="仿宋" w:hAnsi="仿宋" w:eastAsia="仿宋"/>
          <w:color w:val="000000"/>
          <w:sz w:val="32"/>
          <w:szCs w:val="32"/>
        </w:rPr>
      </w:pPr>
    </w:p>
    <w:p w14:paraId="4CCC641B">
      <w:pPr>
        <w:spacing w:line="600" w:lineRule="exact"/>
        <w:ind w:firstLine="640" w:firstLineChars="200"/>
        <w:rPr>
          <w:rFonts w:ascii="仿宋" w:hAnsi="仿宋" w:eastAsia="仿宋"/>
          <w:color w:val="000000"/>
          <w:sz w:val="32"/>
          <w:szCs w:val="32"/>
        </w:rPr>
      </w:pPr>
    </w:p>
    <w:p w14:paraId="0042B096">
      <w:pPr>
        <w:spacing w:line="600" w:lineRule="exact"/>
        <w:ind w:firstLine="640" w:firstLineChars="200"/>
        <w:rPr>
          <w:rFonts w:ascii="仿宋" w:hAnsi="仿宋" w:eastAsia="仿宋"/>
          <w:color w:val="000000"/>
          <w:sz w:val="32"/>
          <w:szCs w:val="32"/>
        </w:rPr>
      </w:pPr>
    </w:p>
    <w:p w14:paraId="48A5336E">
      <w:pPr>
        <w:spacing w:line="600" w:lineRule="exact"/>
        <w:ind w:firstLine="640" w:firstLineChars="200"/>
        <w:rPr>
          <w:rFonts w:ascii="仿宋" w:hAnsi="仿宋" w:eastAsia="仿宋"/>
          <w:color w:val="000000"/>
          <w:sz w:val="32"/>
          <w:szCs w:val="32"/>
        </w:rPr>
      </w:pPr>
    </w:p>
    <w:p w14:paraId="78A2F084">
      <w:pPr>
        <w:spacing w:line="600" w:lineRule="exact"/>
        <w:ind w:firstLine="640" w:firstLineChars="200"/>
        <w:rPr>
          <w:rFonts w:ascii="仿宋" w:hAnsi="仿宋" w:eastAsia="仿宋"/>
          <w:color w:val="000000"/>
          <w:sz w:val="32"/>
          <w:szCs w:val="32"/>
        </w:rPr>
      </w:pPr>
    </w:p>
    <w:p w14:paraId="49FE20A0">
      <w:pPr>
        <w:spacing w:line="600" w:lineRule="exact"/>
        <w:ind w:firstLine="640" w:firstLineChars="200"/>
        <w:rPr>
          <w:rFonts w:ascii="仿宋" w:hAnsi="仿宋" w:eastAsia="仿宋"/>
          <w:color w:val="000000"/>
          <w:sz w:val="32"/>
          <w:szCs w:val="32"/>
        </w:rPr>
      </w:pPr>
    </w:p>
    <w:p w14:paraId="30A3DE10">
      <w:pPr>
        <w:spacing w:line="600" w:lineRule="exact"/>
        <w:ind w:firstLine="640" w:firstLineChars="200"/>
        <w:rPr>
          <w:rFonts w:ascii="仿宋" w:hAnsi="仿宋" w:eastAsia="仿宋"/>
          <w:color w:val="000000"/>
          <w:sz w:val="32"/>
          <w:szCs w:val="32"/>
        </w:rPr>
      </w:pPr>
    </w:p>
    <w:p w14:paraId="10E26F47">
      <w:pPr>
        <w:spacing w:line="600" w:lineRule="exact"/>
        <w:ind w:firstLine="640" w:firstLineChars="200"/>
        <w:rPr>
          <w:rFonts w:ascii="仿宋" w:hAnsi="仿宋" w:eastAsia="仿宋"/>
          <w:color w:val="000000"/>
          <w:sz w:val="32"/>
          <w:szCs w:val="32"/>
        </w:rPr>
      </w:pPr>
    </w:p>
    <w:p w14:paraId="5AA8ACD8">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14:paraId="65B0EDE7">
      <w:pPr>
        <w:pStyle w:val="3"/>
        <w:ind w:firstLine="640" w:firstLineChars="200"/>
        <w:rPr>
          <w:rFonts w:ascii="黑体" w:hAnsi="黑体" w:eastAsia="黑体" w:cs="黑体"/>
          <w:b w:val="0"/>
          <w:bCs w:val="0"/>
        </w:rPr>
      </w:pPr>
      <w:bookmarkStart w:id="38" w:name="_Toc15377207"/>
      <w:bookmarkStart w:id="39" w:name="_Toc2831"/>
      <w:bookmarkStart w:id="40" w:name="_Toc15396605"/>
      <w:r>
        <w:rPr>
          <w:rFonts w:hint="eastAsia" w:ascii="黑体" w:hAnsi="黑体" w:eastAsia="黑体" w:cs="黑体"/>
          <w:b w:val="0"/>
          <w:bCs w:val="0"/>
        </w:rPr>
        <w:t>三、支出决算情况说明</w:t>
      </w:r>
      <w:bookmarkEnd w:id="38"/>
      <w:bookmarkEnd w:id="39"/>
      <w:bookmarkEnd w:id="40"/>
    </w:p>
    <w:p w14:paraId="5D02A023">
      <w:pPr>
        <w:spacing w:line="600" w:lineRule="exact"/>
        <w:ind w:firstLine="640" w:firstLineChars="200"/>
        <w:outlineLvl w:val="1"/>
        <w:rPr>
          <w:rFonts w:ascii="仿宋" w:hAnsi="仿宋" w:eastAsia="仿宋"/>
          <w:color w:val="000000"/>
          <w:sz w:val="32"/>
          <w:szCs w:val="32"/>
        </w:rPr>
      </w:pPr>
      <w:bookmarkStart w:id="41" w:name="_Toc1289"/>
      <w:r>
        <w:rPr>
          <w:rFonts w:ascii="仿宋" w:hAnsi="仿宋" w:eastAsia="仿宋"/>
          <w:color w:val="000000"/>
          <w:sz w:val="32"/>
          <w:szCs w:val="32"/>
        </w:rPr>
        <w:t>201</w:t>
      </w:r>
      <w:r>
        <w:rPr>
          <w:rFonts w:hint="eastAsia" w:ascii="仿宋" w:hAnsi="仿宋" w:eastAsia="仿宋"/>
          <w:color w:val="000000"/>
          <w:sz w:val="32"/>
          <w:szCs w:val="32"/>
        </w:rPr>
        <w:t>9年本年支出合计30768.88万元，其中：基本支出44.32万元，占0.14</w:t>
      </w:r>
      <w:r>
        <w:rPr>
          <w:rFonts w:ascii="仿宋" w:hAnsi="仿宋" w:eastAsia="仿宋"/>
          <w:color w:val="000000"/>
          <w:sz w:val="32"/>
          <w:szCs w:val="32"/>
        </w:rPr>
        <w:t>%</w:t>
      </w:r>
      <w:r>
        <w:rPr>
          <w:rFonts w:hint="eastAsia" w:ascii="仿宋" w:hAnsi="仿宋" w:eastAsia="仿宋"/>
          <w:color w:val="000000"/>
          <w:sz w:val="32"/>
          <w:szCs w:val="32"/>
        </w:rPr>
        <w:t>；项目支出30724.56万元，占99.86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1"/>
    </w:p>
    <w:p w14:paraId="294C090B">
      <w:pPr>
        <w:spacing w:line="600" w:lineRule="exact"/>
        <w:ind w:firstLine="640" w:firstLineChars="200"/>
        <w:rPr>
          <w:rFonts w:ascii="仿宋" w:hAnsi="仿宋" w:eastAsia="仿宋"/>
          <w:color w:val="000000" w:themeColor="text1"/>
          <w:sz w:val="32"/>
          <w:szCs w:val="32"/>
        </w:rPr>
      </w:pPr>
    </w:p>
    <w:p w14:paraId="6AC246B6">
      <w:pPr>
        <w:spacing w:line="600" w:lineRule="exact"/>
        <w:ind w:firstLine="640" w:firstLineChars="200"/>
        <w:rPr>
          <w:rFonts w:ascii="仿宋" w:hAnsi="仿宋" w:eastAsia="仿宋"/>
          <w:color w:val="000000" w:themeColor="text1"/>
          <w:sz w:val="32"/>
          <w:szCs w:val="32"/>
        </w:rPr>
      </w:pPr>
    </w:p>
    <w:p w14:paraId="5D39ACE6">
      <w:pPr>
        <w:spacing w:line="600" w:lineRule="exact"/>
        <w:ind w:firstLine="640" w:firstLineChars="200"/>
        <w:rPr>
          <w:rFonts w:ascii="仿宋" w:hAnsi="仿宋" w:eastAsia="仿宋"/>
          <w:color w:val="000000" w:themeColor="text1"/>
          <w:sz w:val="32"/>
          <w:szCs w:val="32"/>
        </w:rPr>
      </w:pPr>
    </w:p>
    <w:p w14:paraId="2EEC89C0">
      <w:pPr>
        <w:spacing w:line="600" w:lineRule="exact"/>
        <w:ind w:firstLine="640" w:firstLineChars="200"/>
        <w:rPr>
          <w:rFonts w:ascii="仿宋" w:hAnsi="仿宋" w:eastAsia="仿宋"/>
          <w:color w:val="000000" w:themeColor="text1"/>
          <w:sz w:val="32"/>
          <w:szCs w:val="32"/>
        </w:rPr>
      </w:pPr>
    </w:p>
    <w:p w14:paraId="18323017">
      <w:pPr>
        <w:spacing w:line="600" w:lineRule="exact"/>
        <w:ind w:firstLine="640" w:firstLineChars="200"/>
        <w:rPr>
          <w:rFonts w:ascii="仿宋" w:hAnsi="仿宋" w:eastAsia="仿宋"/>
          <w:color w:val="000000" w:themeColor="text1"/>
          <w:sz w:val="32"/>
          <w:szCs w:val="32"/>
        </w:rPr>
      </w:pPr>
    </w:p>
    <w:p w14:paraId="5615F701">
      <w:pPr>
        <w:spacing w:line="600" w:lineRule="exact"/>
        <w:ind w:firstLine="640" w:firstLineChars="200"/>
        <w:rPr>
          <w:rFonts w:ascii="仿宋" w:hAnsi="仿宋" w:eastAsia="仿宋"/>
          <w:color w:val="000000" w:themeColor="text1"/>
          <w:sz w:val="32"/>
          <w:szCs w:val="32"/>
        </w:rPr>
      </w:pPr>
    </w:p>
    <w:p w14:paraId="71B005F6">
      <w:pPr>
        <w:spacing w:line="600" w:lineRule="exact"/>
        <w:ind w:firstLine="640" w:firstLineChars="200"/>
        <w:rPr>
          <w:rFonts w:ascii="仿宋" w:hAnsi="仿宋" w:eastAsia="仿宋"/>
          <w:color w:val="000000" w:themeColor="text1"/>
          <w:sz w:val="32"/>
          <w:szCs w:val="32"/>
        </w:rPr>
      </w:pPr>
    </w:p>
    <w:p w14:paraId="07BC5EED">
      <w:pPr>
        <w:spacing w:line="600" w:lineRule="exact"/>
        <w:ind w:firstLine="640" w:firstLineChars="200"/>
        <w:rPr>
          <w:rFonts w:ascii="仿宋" w:hAnsi="仿宋" w:eastAsia="仿宋"/>
          <w:color w:val="000000" w:themeColor="text1"/>
          <w:sz w:val="32"/>
          <w:szCs w:val="32"/>
        </w:rPr>
      </w:pPr>
    </w:p>
    <w:p w14:paraId="03455880">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427990</wp:posOffset>
            </wp:positionH>
            <wp:positionV relativeFrom="paragraph">
              <wp:posOffset>366395</wp:posOffset>
            </wp:positionV>
            <wp:extent cx="5074920" cy="3363595"/>
            <wp:effectExtent l="4445" t="4445" r="6985" b="228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5FA7B33">
      <w:pPr>
        <w:spacing w:line="600" w:lineRule="exact"/>
        <w:ind w:firstLine="640" w:firstLineChars="200"/>
        <w:rPr>
          <w:rFonts w:ascii="仿宋" w:hAnsi="仿宋" w:eastAsia="仿宋"/>
          <w:color w:val="000000" w:themeColor="text1"/>
          <w:sz w:val="32"/>
          <w:szCs w:val="32"/>
        </w:rPr>
      </w:pPr>
    </w:p>
    <w:p w14:paraId="75828476">
      <w:pPr>
        <w:spacing w:line="600" w:lineRule="exact"/>
        <w:ind w:firstLine="640" w:firstLineChars="200"/>
        <w:rPr>
          <w:rFonts w:ascii="仿宋" w:hAnsi="仿宋" w:eastAsia="仿宋"/>
          <w:color w:val="000000" w:themeColor="text1"/>
          <w:sz w:val="32"/>
          <w:szCs w:val="32"/>
        </w:rPr>
      </w:pPr>
    </w:p>
    <w:p w14:paraId="77A49901">
      <w:pPr>
        <w:spacing w:line="600" w:lineRule="exact"/>
        <w:ind w:firstLine="640" w:firstLineChars="200"/>
        <w:rPr>
          <w:rFonts w:ascii="仿宋" w:hAnsi="仿宋" w:eastAsia="仿宋"/>
          <w:color w:val="000000" w:themeColor="text1"/>
          <w:sz w:val="32"/>
          <w:szCs w:val="32"/>
        </w:rPr>
      </w:pPr>
    </w:p>
    <w:p w14:paraId="2C67F8F3">
      <w:pPr>
        <w:spacing w:line="600" w:lineRule="exact"/>
        <w:ind w:firstLine="640" w:firstLineChars="200"/>
        <w:rPr>
          <w:rFonts w:ascii="仿宋" w:hAnsi="仿宋" w:eastAsia="仿宋"/>
          <w:color w:val="000000" w:themeColor="text1"/>
          <w:sz w:val="32"/>
          <w:szCs w:val="32"/>
        </w:rPr>
      </w:pPr>
    </w:p>
    <w:p w14:paraId="386FDE71">
      <w:pPr>
        <w:spacing w:line="600" w:lineRule="exact"/>
        <w:ind w:firstLine="640" w:firstLineChars="200"/>
        <w:rPr>
          <w:rFonts w:ascii="仿宋" w:hAnsi="仿宋" w:eastAsia="仿宋"/>
          <w:color w:val="000000" w:themeColor="text1"/>
          <w:sz w:val="32"/>
          <w:szCs w:val="32"/>
        </w:rPr>
      </w:pPr>
    </w:p>
    <w:p w14:paraId="019DCD18">
      <w:pPr>
        <w:spacing w:line="600" w:lineRule="exact"/>
        <w:ind w:firstLine="640" w:firstLineChars="200"/>
        <w:rPr>
          <w:rFonts w:ascii="仿宋" w:hAnsi="仿宋" w:eastAsia="仿宋"/>
          <w:color w:val="000000" w:themeColor="text1"/>
          <w:sz w:val="32"/>
          <w:szCs w:val="32"/>
        </w:rPr>
      </w:pPr>
    </w:p>
    <w:p w14:paraId="116D8F41">
      <w:pPr>
        <w:spacing w:line="600" w:lineRule="exact"/>
        <w:ind w:firstLine="640" w:firstLineChars="200"/>
        <w:rPr>
          <w:rFonts w:ascii="仿宋" w:hAnsi="仿宋" w:eastAsia="仿宋"/>
          <w:color w:val="000000" w:themeColor="text1"/>
          <w:sz w:val="32"/>
          <w:szCs w:val="32"/>
        </w:rPr>
      </w:pPr>
    </w:p>
    <w:p w14:paraId="167C7DD0">
      <w:pPr>
        <w:spacing w:line="600" w:lineRule="exact"/>
        <w:ind w:firstLine="640" w:firstLineChars="200"/>
        <w:rPr>
          <w:rFonts w:ascii="仿宋" w:hAnsi="仿宋" w:eastAsia="仿宋"/>
          <w:color w:val="000000" w:themeColor="text1"/>
          <w:sz w:val="32"/>
          <w:szCs w:val="32"/>
        </w:rPr>
      </w:pPr>
    </w:p>
    <w:p w14:paraId="3BFAD774">
      <w:pPr>
        <w:spacing w:line="600" w:lineRule="exact"/>
        <w:ind w:firstLine="640" w:firstLineChars="200"/>
        <w:rPr>
          <w:rFonts w:ascii="仿宋" w:hAnsi="仿宋" w:eastAsia="仿宋"/>
          <w:color w:val="000000" w:themeColor="text1"/>
          <w:sz w:val="32"/>
          <w:szCs w:val="32"/>
        </w:rPr>
      </w:pPr>
    </w:p>
    <w:p w14:paraId="2CCA09B9">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14:paraId="23657545">
      <w:pPr>
        <w:pStyle w:val="3"/>
      </w:pPr>
    </w:p>
    <w:p w14:paraId="1F78E426">
      <w:pPr>
        <w:pStyle w:val="3"/>
        <w:ind w:firstLine="640" w:firstLineChars="200"/>
        <w:rPr>
          <w:rFonts w:ascii="黑体" w:hAnsi="黑体" w:eastAsia="黑体" w:cs="黑体"/>
          <w:b w:val="0"/>
          <w:bCs w:val="0"/>
        </w:rPr>
      </w:pPr>
      <w:bookmarkStart w:id="42" w:name="_Toc15396606"/>
      <w:bookmarkStart w:id="43" w:name="_Toc15377208"/>
      <w:bookmarkStart w:id="44" w:name="_Toc19886"/>
      <w:r>
        <w:rPr>
          <w:rFonts w:hint="eastAsia" w:ascii="黑体" w:hAnsi="黑体" w:eastAsia="黑体" w:cs="黑体"/>
          <w:b w:val="0"/>
          <w:bCs w:val="0"/>
        </w:rPr>
        <w:t>四、财政拨款收入支出决算总体情况说明</w:t>
      </w:r>
      <w:bookmarkEnd w:id="42"/>
      <w:bookmarkEnd w:id="43"/>
      <w:bookmarkEnd w:id="44"/>
    </w:p>
    <w:p w14:paraId="4BF4E6B3">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9年财政拨款收入总计35727.66万元、支出总计30768.88万元。与2019年相比，财政拨款收入总计增加3873.70万元，增长12.05%，支出总计减少18910.75万元，下降38.07</w:t>
      </w:r>
      <w:r>
        <w:rPr>
          <w:rFonts w:ascii="仿宋" w:hAnsi="仿宋" w:eastAsia="仿宋"/>
          <w:color w:val="000000"/>
          <w:sz w:val="32"/>
          <w:szCs w:val="32"/>
        </w:rPr>
        <w:t>%</w:t>
      </w:r>
      <w:r>
        <w:rPr>
          <w:rFonts w:hint="eastAsia" w:ascii="仿宋" w:hAnsi="仿宋" w:eastAsia="仿宋"/>
          <w:color w:val="000000"/>
          <w:sz w:val="32"/>
          <w:szCs w:val="32"/>
        </w:rPr>
        <w:t>。主要变动原因是增加被征地农民社保欠费清缴9879万元。</w:t>
      </w:r>
    </w:p>
    <w:p w14:paraId="192DC469">
      <w:pPr>
        <w:spacing w:line="600" w:lineRule="exact"/>
        <w:rPr>
          <w:rFonts w:ascii="仿宋" w:hAnsi="仿宋" w:eastAsia="仿宋"/>
          <w:color w:val="000000"/>
          <w:sz w:val="32"/>
          <w:szCs w:val="32"/>
        </w:rPr>
      </w:pPr>
    </w:p>
    <w:p w14:paraId="1BEA30AE">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322580</wp:posOffset>
            </wp:positionH>
            <wp:positionV relativeFrom="paragraph">
              <wp:posOffset>128270</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745023F">
      <w:pPr>
        <w:spacing w:line="600" w:lineRule="exact"/>
        <w:rPr>
          <w:rFonts w:ascii="仿宋" w:hAnsi="仿宋" w:eastAsia="仿宋"/>
          <w:color w:val="000000"/>
          <w:sz w:val="32"/>
          <w:szCs w:val="32"/>
        </w:rPr>
      </w:pPr>
    </w:p>
    <w:p w14:paraId="7F82034D">
      <w:pPr>
        <w:spacing w:line="600" w:lineRule="exact"/>
        <w:rPr>
          <w:rFonts w:ascii="仿宋" w:hAnsi="仿宋" w:eastAsia="仿宋"/>
          <w:color w:val="000000"/>
          <w:sz w:val="32"/>
          <w:szCs w:val="32"/>
        </w:rPr>
      </w:pPr>
    </w:p>
    <w:p w14:paraId="27048E2A">
      <w:pPr>
        <w:spacing w:line="600" w:lineRule="exact"/>
        <w:rPr>
          <w:rFonts w:ascii="仿宋" w:hAnsi="仿宋" w:eastAsia="仿宋"/>
          <w:color w:val="000000"/>
          <w:sz w:val="32"/>
          <w:szCs w:val="32"/>
        </w:rPr>
      </w:pPr>
    </w:p>
    <w:p w14:paraId="5A3E9D1A">
      <w:pPr>
        <w:spacing w:line="600" w:lineRule="exact"/>
        <w:rPr>
          <w:rFonts w:ascii="仿宋" w:hAnsi="仿宋" w:eastAsia="仿宋"/>
          <w:color w:val="000000"/>
          <w:sz w:val="32"/>
          <w:szCs w:val="32"/>
        </w:rPr>
      </w:pPr>
    </w:p>
    <w:p w14:paraId="4EFE135F">
      <w:pPr>
        <w:spacing w:line="600" w:lineRule="exact"/>
        <w:rPr>
          <w:rFonts w:ascii="仿宋" w:hAnsi="仿宋" w:eastAsia="仿宋"/>
          <w:color w:val="000000"/>
          <w:sz w:val="32"/>
          <w:szCs w:val="32"/>
        </w:rPr>
      </w:pPr>
    </w:p>
    <w:p w14:paraId="476EA168">
      <w:pPr>
        <w:spacing w:line="600" w:lineRule="exact"/>
        <w:ind w:firstLine="640" w:firstLineChars="200"/>
        <w:rPr>
          <w:rFonts w:ascii="仿宋" w:hAnsi="仿宋" w:eastAsia="仿宋"/>
          <w:color w:val="000000" w:themeColor="text1"/>
          <w:sz w:val="32"/>
          <w:szCs w:val="32"/>
        </w:rPr>
      </w:pPr>
    </w:p>
    <w:p w14:paraId="302A70F0">
      <w:pPr>
        <w:spacing w:line="600" w:lineRule="exact"/>
        <w:ind w:firstLine="640" w:firstLineChars="200"/>
        <w:rPr>
          <w:rFonts w:ascii="仿宋" w:hAnsi="仿宋" w:eastAsia="仿宋"/>
          <w:color w:val="000000" w:themeColor="text1"/>
          <w:sz w:val="32"/>
          <w:szCs w:val="32"/>
        </w:rPr>
      </w:pPr>
    </w:p>
    <w:p w14:paraId="55BF42AB">
      <w:pPr>
        <w:spacing w:line="600" w:lineRule="exact"/>
        <w:ind w:firstLine="640" w:firstLineChars="200"/>
        <w:rPr>
          <w:rFonts w:ascii="仿宋" w:hAnsi="仿宋" w:eastAsia="仿宋"/>
          <w:color w:val="000000" w:themeColor="text1"/>
          <w:sz w:val="32"/>
          <w:szCs w:val="32"/>
        </w:rPr>
      </w:pPr>
    </w:p>
    <w:p w14:paraId="62A74785">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30B46B08">
      <w:pPr>
        <w:spacing w:line="600" w:lineRule="exact"/>
        <w:ind w:firstLine="640"/>
        <w:rPr>
          <w:rFonts w:ascii="仿宋" w:hAnsi="仿宋" w:eastAsia="仿宋"/>
          <w:b/>
          <w:color w:val="00B050"/>
          <w:sz w:val="32"/>
          <w:szCs w:val="32"/>
        </w:rPr>
      </w:pPr>
    </w:p>
    <w:p w14:paraId="4D890A97">
      <w:pPr>
        <w:pStyle w:val="3"/>
        <w:ind w:firstLine="640" w:firstLineChars="200"/>
        <w:rPr>
          <w:rFonts w:ascii="黑体" w:hAnsi="黑体" w:eastAsia="黑体" w:cs="黑体"/>
          <w:b w:val="0"/>
          <w:bCs w:val="0"/>
        </w:rPr>
      </w:pPr>
      <w:bookmarkStart w:id="45" w:name="_Toc15377209"/>
      <w:bookmarkStart w:id="46" w:name="_Toc15396607"/>
      <w:bookmarkStart w:id="47" w:name="_Toc30903"/>
      <w:r>
        <w:rPr>
          <w:rFonts w:hint="eastAsia" w:ascii="黑体" w:hAnsi="黑体" w:eastAsia="黑体" w:cs="黑体"/>
          <w:b w:val="0"/>
          <w:bCs w:val="0"/>
        </w:rPr>
        <w:t>五、一般公共预算财政拨款支出决算情况说明</w:t>
      </w:r>
      <w:bookmarkEnd w:id="45"/>
      <w:bookmarkEnd w:id="46"/>
      <w:bookmarkEnd w:id="47"/>
    </w:p>
    <w:p w14:paraId="6A1C5C13">
      <w:pPr>
        <w:spacing w:line="600" w:lineRule="exact"/>
        <w:ind w:firstLine="643" w:firstLineChars="200"/>
        <w:outlineLvl w:val="2"/>
        <w:rPr>
          <w:rFonts w:ascii="仿宋" w:hAnsi="仿宋" w:eastAsia="仿宋"/>
          <w:b/>
          <w:color w:val="000000"/>
          <w:sz w:val="32"/>
          <w:szCs w:val="32"/>
        </w:rPr>
      </w:pPr>
      <w:bookmarkStart w:id="48" w:name="_Toc15377210"/>
      <w:r>
        <w:rPr>
          <w:rFonts w:hint="eastAsia" w:ascii="仿宋" w:hAnsi="仿宋" w:eastAsia="仿宋"/>
          <w:b/>
          <w:color w:val="000000"/>
          <w:sz w:val="32"/>
          <w:szCs w:val="32"/>
        </w:rPr>
        <w:t>（一）一般公共预算财政拨款支出决算总体情况</w:t>
      </w:r>
      <w:bookmarkEnd w:id="48"/>
    </w:p>
    <w:p w14:paraId="26B8EEDA">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9年一般公共预算财政拨款支出5484.38万元，占本年支出合计的17.82</w:t>
      </w:r>
      <w:r>
        <w:rPr>
          <w:rFonts w:ascii="仿宋" w:hAnsi="仿宋" w:eastAsia="仿宋"/>
          <w:color w:val="000000"/>
          <w:sz w:val="32"/>
          <w:szCs w:val="32"/>
        </w:rPr>
        <w:t>%</w:t>
      </w:r>
      <w:r>
        <w:rPr>
          <w:rFonts w:hint="eastAsia" w:ascii="仿宋" w:hAnsi="仿宋" w:eastAsia="仿宋"/>
          <w:color w:val="000000"/>
          <w:sz w:val="32"/>
          <w:szCs w:val="32"/>
        </w:rPr>
        <w:t>。与2019年相比，一般公共预算财政拨款增加1295.04万元，增长30.91</w:t>
      </w:r>
      <w:r>
        <w:rPr>
          <w:rFonts w:ascii="仿宋" w:hAnsi="仿宋" w:eastAsia="仿宋"/>
          <w:color w:val="000000"/>
          <w:sz w:val="32"/>
          <w:szCs w:val="32"/>
        </w:rPr>
        <w:t>%</w:t>
      </w:r>
      <w:r>
        <w:rPr>
          <w:rFonts w:hint="eastAsia" w:ascii="仿宋" w:hAnsi="仿宋" w:eastAsia="仿宋"/>
          <w:color w:val="000000"/>
          <w:sz w:val="32"/>
          <w:szCs w:val="32"/>
        </w:rPr>
        <w:t>。主要变动原因是增加被征地农民社保欠费清缴9879万元。</w:t>
      </w:r>
    </w:p>
    <w:p w14:paraId="549B2A20">
      <w:pPr>
        <w:spacing w:line="600" w:lineRule="exact"/>
        <w:rPr>
          <w:rFonts w:ascii="仿宋" w:hAnsi="仿宋" w:eastAsia="仿宋"/>
          <w:color w:val="000000"/>
          <w:sz w:val="32"/>
          <w:szCs w:val="32"/>
        </w:rPr>
      </w:pPr>
    </w:p>
    <w:p w14:paraId="71747EE1">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633095</wp:posOffset>
            </wp:positionH>
            <wp:positionV relativeFrom="paragraph">
              <wp:posOffset>337820</wp:posOffset>
            </wp:positionV>
            <wp:extent cx="4119245" cy="3096260"/>
            <wp:effectExtent l="4445" t="4445" r="10160" b="806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3B93657">
      <w:pPr>
        <w:spacing w:line="600" w:lineRule="exact"/>
        <w:ind w:firstLine="640" w:firstLineChars="200"/>
        <w:rPr>
          <w:rFonts w:ascii="仿宋" w:hAnsi="仿宋" w:eastAsia="仿宋"/>
          <w:color w:val="000000"/>
          <w:sz w:val="32"/>
          <w:szCs w:val="32"/>
        </w:rPr>
      </w:pPr>
    </w:p>
    <w:p w14:paraId="57FD3AAC">
      <w:pPr>
        <w:spacing w:line="600" w:lineRule="exact"/>
        <w:ind w:firstLine="640" w:firstLineChars="200"/>
        <w:rPr>
          <w:rFonts w:ascii="仿宋" w:hAnsi="仿宋" w:eastAsia="仿宋"/>
          <w:color w:val="000000"/>
          <w:sz w:val="32"/>
          <w:szCs w:val="32"/>
        </w:rPr>
      </w:pPr>
    </w:p>
    <w:p w14:paraId="00E6222D">
      <w:pPr>
        <w:spacing w:line="600" w:lineRule="exact"/>
        <w:ind w:firstLine="640" w:firstLineChars="200"/>
        <w:rPr>
          <w:rFonts w:ascii="仿宋" w:hAnsi="仿宋" w:eastAsia="仿宋"/>
          <w:color w:val="000000"/>
          <w:sz w:val="32"/>
          <w:szCs w:val="32"/>
        </w:rPr>
      </w:pPr>
    </w:p>
    <w:p w14:paraId="5308686A">
      <w:pPr>
        <w:spacing w:line="600" w:lineRule="exact"/>
        <w:ind w:firstLine="640" w:firstLineChars="200"/>
        <w:rPr>
          <w:rFonts w:ascii="仿宋" w:hAnsi="仿宋" w:eastAsia="仿宋"/>
          <w:color w:val="000000"/>
          <w:sz w:val="32"/>
          <w:szCs w:val="32"/>
        </w:rPr>
      </w:pPr>
    </w:p>
    <w:p w14:paraId="3FA666B9">
      <w:pPr>
        <w:spacing w:line="600" w:lineRule="exact"/>
        <w:ind w:firstLine="640" w:firstLineChars="200"/>
        <w:rPr>
          <w:rFonts w:ascii="仿宋" w:hAnsi="仿宋" w:eastAsia="仿宋"/>
          <w:color w:val="000000"/>
          <w:sz w:val="32"/>
          <w:szCs w:val="32"/>
        </w:rPr>
      </w:pPr>
    </w:p>
    <w:p w14:paraId="23432E5D">
      <w:pPr>
        <w:spacing w:line="600" w:lineRule="exact"/>
        <w:ind w:firstLine="640" w:firstLineChars="200"/>
        <w:rPr>
          <w:rFonts w:ascii="仿宋" w:hAnsi="仿宋" w:eastAsia="仿宋"/>
          <w:color w:val="000000"/>
          <w:sz w:val="32"/>
          <w:szCs w:val="32"/>
        </w:rPr>
      </w:pPr>
    </w:p>
    <w:p w14:paraId="117BA6E1">
      <w:pPr>
        <w:spacing w:line="600" w:lineRule="exact"/>
        <w:ind w:firstLine="640" w:firstLineChars="200"/>
        <w:rPr>
          <w:rFonts w:ascii="仿宋" w:hAnsi="仿宋" w:eastAsia="仿宋"/>
          <w:color w:val="000000"/>
          <w:sz w:val="32"/>
          <w:szCs w:val="32"/>
        </w:rPr>
      </w:pPr>
    </w:p>
    <w:p w14:paraId="365D5474">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012CA2D1">
      <w:pPr>
        <w:spacing w:line="600" w:lineRule="exact"/>
        <w:ind w:firstLine="640" w:firstLineChars="200"/>
        <w:rPr>
          <w:rFonts w:ascii="仿宋" w:hAnsi="仿宋" w:eastAsia="仿宋"/>
          <w:color w:val="000000" w:themeColor="text1"/>
          <w:sz w:val="32"/>
          <w:szCs w:val="32"/>
        </w:rPr>
      </w:pPr>
    </w:p>
    <w:p w14:paraId="7BBB8E70">
      <w:pPr>
        <w:spacing w:line="600" w:lineRule="exact"/>
        <w:ind w:firstLine="643" w:firstLineChars="200"/>
        <w:outlineLvl w:val="2"/>
        <w:rPr>
          <w:rFonts w:ascii="仿宋" w:hAnsi="仿宋" w:eastAsia="仿宋"/>
          <w:b/>
          <w:color w:val="000000"/>
          <w:sz w:val="32"/>
          <w:szCs w:val="32"/>
        </w:rPr>
      </w:pPr>
      <w:bookmarkStart w:id="49" w:name="_Toc15377211"/>
      <w:r>
        <w:rPr>
          <w:rFonts w:hint="eastAsia" w:ascii="仿宋" w:hAnsi="仿宋" w:eastAsia="仿宋"/>
          <w:b/>
          <w:color w:val="000000"/>
          <w:sz w:val="32"/>
          <w:szCs w:val="32"/>
        </w:rPr>
        <w:t>（二）一般公共预算财政拨款支出决算结构情况</w:t>
      </w:r>
      <w:bookmarkEnd w:id="49"/>
    </w:p>
    <w:p w14:paraId="0523CF0D">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5484.38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社会保障和就业支出（208）</w:t>
      </w:r>
      <w:r>
        <w:rPr>
          <w:rFonts w:hint="eastAsia" w:ascii="仿宋" w:hAnsi="仿宋" w:eastAsia="仿宋"/>
          <w:color w:val="000000" w:themeColor="text1"/>
          <w:sz w:val="32"/>
          <w:szCs w:val="32"/>
        </w:rPr>
        <w:t>支出4920万元，占89.71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自然资源及海洋气象等支出（220）</w:t>
      </w:r>
      <w:r>
        <w:rPr>
          <w:rFonts w:hint="eastAsia" w:ascii="仿宋" w:hAnsi="仿宋" w:eastAsia="仿宋"/>
          <w:color w:val="000000" w:themeColor="text1"/>
          <w:sz w:val="32"/>
          <w:szCs w:val="32"/>
        </w:rPr>
        <w:t>54.33万元，占0.99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债务付息支出（232）</w:t>
      </w:r>
      <w:r>
        <w:rPr>
          <w:rFonts w:hint="eastAsia" w:ascii="仿宋" w:hAnsi="仿宋" w:eastAsia="仿宋"/>
          <w:color w:val="000000" w:themeColor="text1"/>
          <w:sz w:val="32"/>
          <w:szCs w:val="32"/>
        </w:rPr>
        <w:t>510.06万元，占9.3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45FF2F52">
      <w:pPr>
        <w:spacing w:line="600" w:lineRule="exact"/>
        <w:ind w:firstLine="640"/>
        <w:rPr>
          <w:rFonts w:ascii="仿宋" w:hAnsi="仿宋" w:eastAsia="仿宋"/>
          <w:color w:val="000000" w:themeColor="text1"/>
          <w:sz w:val="32"/>
          <w:szCs w:val="32"/>
        </w:rPr>
      </w:pPr>
    </w:p>
    <w:p w14:paraId="223F67E5">
      <w:pPr>
        <w:spacing w:line="600" w:lineRule="exact"/>
        <w:rPr>
          <w:rFonts w:ascii="仿宋" w:hAnsi="仿宋" w:eastAsia="仿宋"/>
          <w:color w:val="000000" w:themeColor="text1"/>
          <w:sz w:val="32"/>
          <w:szCs w:val="32"/>
        </w:rPr>
      </w:pPr>
    </w:p>
    <w:p w14:paraId="29F21DC6">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534670</wp:posOffset>
            </wp:positionH>
            <wp:positionV relativeFrom="paragraph">
              <wp:posOffset>319405</wp:posOffset>
            </wp:positionV>
            <wp:extent cx="3984625" cy="3533140"/>
            <wp:effectExtent l="5080" t="4445" r="10795" b="57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23BE5BE">
      <w:pPr>
        <w:spacing w:line="600" w:lineRule="exact"/>
        <w:ind w:firstLine="640"/>
        <w:rPr>
          <w:rFonts w:ascii="仿宋" w:hAnsi="仿宋" w:eastAsia="仿宋"/>
          <w:color w:val="000000" w:themeColor="text1"/>
          <w:sz w:val="32"/>
          <w:szCs w:val="32"/>
        </w:rPr>
      </w:pPr>
    </w:p>
    <w:p w14:paraId="7A615C20">
      <w:pPr>
        <w:spacing w:line="600" w:lineRule="exact"/>
        <w:ind w:firstLine="640"/>
        <w:rPr>
          <w:rFonts w:ascii="仿宋" w:hAnsi="仿宋" w:eastAsia="仿宋"/>
          <w:color w:val="000000" w:themeColor="text1"/>
          <w:sz w:val="32"/>
          <w:szCs w:val="32"/>
        </w:rPr>
      </w:pPr>
    </w:p>
    <w:p w14:paraId="2393680C">
      <w:pPr>
        <w:spacing w:line="600" w:lineRule="exact"/>
        <w:ind w:firstLine="640"/>
        <w:rPr>
          <w:rFonts w:ascii="仿宋" w:hAnsi="仿宋" w:eastAsia="仿宋"/>
          <w:color w:val="000000" w:themeColor="text1"/>
          <w:sz w:val="32"/>
          <w:szCs w:val="32"/>
        </w:rPr>
      </w:pPr>
    </w:p>
    <w:p w14:paraId="364D4ECE">
      <w:pPr>
        <w:spacing w:line="600" w:lineRule="exact"/>
        <w:ind w:firstLine="640"/>
        <w:rPr>
          <w:rFonts w:ascii="仿宋" w:hAnsi="仿宋" w:eastAsia="仿宋"/>
          <w:color w:val="000000" w:themeColor="text1"/>
          <w:sz w:val="32"/>
          <w:szCs w:val="32"/>
        </w:rPr>
      </w:pPr>
    </w:p>
    <w:p w14:paraId="2FF49994">
      <w:pPr>
        <w:spacing w:line="600" w:lineRule="exact"/>
        <w:ind w:firstLine="640"/>
        <w:rPr>
          <w:rFonts w:ascii="仿宋" w:hAnsi="仿宋" w:eastAsia="仿宋"/>
          <w:color w:val="000000" w:themeColor="text1"/>
          <w:sz w:val="32"/>
          <w:szCs w:val="32"/>
        </w:rPr>
      </w:pPr>
    </w:p>
    <w:p w14:paraId="7FAF8DAF">
      <w:pPr>
        <w:spacing w:line="600" w:lineRule="exact"/>
        <w:ind w:firstLine="640"/>
        <w:rPr>
          <w:rFonts w:ascii="仿宋" w:hAnsi="仿宋" w:eastAsia="仿宋"/>
          <w:color w:val="000000" w:themeColor="text1"/>
          <w:sz w:val="32"/>
          <w:szCs w:val="32"/>
        </w:rPr>
      </w:pPr>
    </w:p>
    <w:p w14:paraId="1A57D24F">
      <w:pPr>
        <w:spacing w:line="600" w:lineRule="exact"/>
        <w:ind w:firstLine="640"/>
        <w:rPr>
          <w:rFonts w:ascii="仿宋" w:hAnsi="仿宋" w:eastAsia="仿宋"/>
          <w:color w:val="000000" w:themeColor="text1"/>
          <w:sz w:val="32"/>
          <w:szCs w:val="32"/>
        </w:rPr>
      </w:pPr>
    </w:p>
    <w:p w14:paraId="10778BB2">
      <w:pPr>
        <w:spacing w:line="600" w:lineRule="exact"/>
        <w:ind w:firstLine="640" w:firstLineChars="200"/>
        <w:rPr>
          <w:rFonts w:ascii="仿宋" w:hAnsi="仿宋" w:eastAsia="仿宋"/>
          <w:color w:val="000000"/>
          <w:sz w:val="32"/>
          <w:szCs w:val="32"/>
        </w:rPr>
      </w:pPr>
    </w:p>
    <w:p w14:paraId="7C4A50D9">
      <w:pPr>
        <w:spacing w:line="600" w:lineRule="exact"/>
        <w:ind w:firstLine="640" w:firstLineChars="200"/>
        <w:rPr>
          <w:rFonts w:ascii="仿宋" w:hAnsi="仿宋" w:eastAsia="仿宋"/>
          <w:color w:val="000000"/>
          <w:sz w:val="32"/>
          <w:szCs w:val="32"/>
        </w:rPr>
      </w:pPr>
    </w:p>
    <w:p w14:paraId="1773264A">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6201C28E">
      <w:pPr>
        <w:spacing w:line="600" w:lineRule="exact"/>
        <w:ind w:firstLine="640" w:firstLineChars="200"/>
        <w:rPr>
          <w:rFonts w:ascii="仿宋" w:hAnsi="仿宋" w:eastAsia="仿宋"/>
          <w:color w:val="000000"/>
          <w:sz w:val="32"/>
          <w:szCs w:val="32"/>
        </w:rPr>
      </w:pPr>
    </w:p>
    <w:p w14:paraId="4E94B55C">
      <w:pPr>
        <w:spacing w:line="600" w:lineRule="exact"/>
        <w:ind w:firstLine="643" w:firstLineChars="200"/>
        <w:outlineLvl w:val="2"/>
        <w:rPr>
          <w:rFonts w:ascii="仿宋" w:hAnsi="仿宋" w:eastAsia="仿宋"/>
          <w:b/>
          <w:color w:val="000000"/>
          <w:sz w:val="32"/>
          <w:szCs w:val="32"/>
        </w:rPr>
      </w:pPr>
      <w:bookmarkStart w:id="50" w:name="_Toc15377212"/>
      <w:r>
        <w:rPr>
          <w:rFonts w:hint="eastAsia" w:ascii="仿宋" w:hAnsi="仿宋" w:eastAsia="仿宋"/>
          <w:b/>
          <w:color w:val="000000"/>
          <w:sz w:val="32"/>
          <w:szCs w:val="32"/>
        </w:rPr>
        <w:t>（三）一般公共预算财政拨款支出决算具体情况</w:t>
      </w:r>
      <w:bookmarkEnd w:id="50"/>
    </w:p>
    <w:p w14:paraId="3777F671">
      <w:pPr>
        <w:spacing w:line="600" w:lineRule="exact"/>
        <w:ind w:firstLine="643" w:firstLineChars="200"/>
        <w:outlineLvl w:val="2"/>
        <w:rPr>
          <w:rFonts w:ascii="仿宋" w:hAnsi="仿宋" w:eastAsia="仿宋"/>
          <w:color w:val="FF0000"/>
          <w:sz w:val="32"/>
          <w:szCs w:val="32"/>
        </w:rPr>
      </w:pPr>
      <w:bookmarkStart w:id="51" w:name="_Toc15377213"/>
      <w:bookmarkStart w:id="52" w:name="_Toc15377444"/>
      <w:bookmarkStart w:id="53" w:name="_Toc15378460"/>
      <w:r>
        <w:rPr>
          <w:rFonts w:hint="eastAsia" w:ascii="仿宋" w:hAnsi="仿宋" w:eastAsia="仿宋"/>
          <w:b/>
          <w:color w:val="000000" w:themeColor="text1"/>
          <w:sz w:val="32"/>
          <w:szCs w:val="32"/>
        </w:rPr>
        <w:t>2019年一般公共预算支出决算数为</w:t>
      </w:r>
      <w:r>
        <w:rPr>
          <w:rFonts w:hint="eastAsia" w:ascii="仿宋" w:hAnsi="仿宋" w:eastAsia="仿宋"/>
          <w:color w:val="000000"/>
          <w:sz w:val="32"/>
          <w:szCs w:val="32"/>
        </w:rPr>
        <w:t>5484.38万元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51"/>
      <w:bookmarkEnd w:id="52"/>
      <w:bookmarkEnd w:id="53"/>
    </w:p>
    <w:p w14:paraId="420E78E6">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Fonts w:hint="eastAsia" w:ascii="仿宋" w:hAnsi="仿宋" w:eastAsia="仿宋"/>
          <w:b/>
          <w:color w:val="000000" w:themeColor="text1"/>
          <w:sz w:val="32"/>
          <w:szCs w:val="32"/>
        </w:rPr>
        <w:t>社会保障和就业支出（208）其他社会保障和就业支出（99）其他社会保障和就业支出（01）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4920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89E081D">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Fonts w:hint="eastAsia" w:ascii="仿宋" w:hAnsi="仿宋" w:eastAsia="仿宋"/>
          <w:b/>
          <w:bCs/>
          <w:color w:val="000000" w:themeColor="text1"/>
          <w:sz w:val="32"/>
          <w:szCs w:val="32"/>
        </w:rPr>
        <w:t>自然资源及海洋气象等（220）自然资源事务（01）事业运行（50）</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44.32</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180D8C3">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3.</w:t>
      </w:r>
      <w:r>
        <w:rPr>
          <w:rFonts w:hint="eastAsia" w:ascii="仿宋" w:hAnsi="仿宋" w:eastAsia="仿宋"/>
          <w:b/>
          <w:bCs/>
          <w:color w:val="000000" w:themeColor="text1"/>
          <w:sz w:val="32"/>
          <w:szCs w:val="32"/>
        </w:rPr>
        <w:t>自然资源及海洋气象等（220）自然资源事务（01）其他自然资源事务支出（99）：</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10.00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250EF796">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themeColor="text1"/>
          <w:sz w:val="32"/>
          <w:szCs w:val="32"/>
        </w:rPr>
        <w:t>4.债务付息（232）地方政府一般债务付息支出（03）地方政府一般债券付息支出（01）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510.06</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1FD5AFA">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14:paraId="25F980EB">
      <w:pPr>
        <w:spacing w:line="600" w:lineRule="exact"/>
        <w:ind w:firstLine="640"/>
        <w:rPr>
          <w:rFonts w:ascii="仿宋" w:hAnsi="仿宋" w:eastAsia="仿宋"/>
          <w:b/>
          <w:color w:val="000000"/>
          <w:sz w:val="32"/>
          <w:szCs w:val="32"/>
        </w:rPr>
      </w:pPr>
    </w:p>
    <w:p w14:paraId="3C006EC9">
      <w:pPr>
        <w:pStyle w:val="3"/>
        <w:ind w:firstLine="640" w:firstLineChars="200"/>
        <w:rPr>
          <w:rFonts w:ascii="黑体" w:hAnsi="黑体" w:eastAsia="黑体" w:cs="黑体"/>
          <w:b w:val="0"/>
          <w:bCs w:val="0"/>
        </w:rPr>
      </w:pPr>
      <w:bookmarkStart w:id="54" w:name="_Toc11936"/>
      <w:bookmarkStart w:id="55" w:name="_Toc15377214"/>
      <w:bookmarkStart w:id="56" w:name="_Toc15396608"/>
      <w:r>
        <w:rPr>
          <w:rFonts w:hint="eastAsia" w:ascii="黑体" w:hAnsi="黑体" w:eastAsia="黑体" w:cs="黑体"/>
          <w:b w:val="0"/>
          <w:bCs w:val="0"/>
        </w:rPr>
        <w:t>六、一般公共预算财政拨款基本支出决算情况说明</w:t>
      </w:r>
      <w:bookmarkEnd w:id="54"/>
      <w:bookmarkEnd w:id="55"/>
      <w:bookmarkEnd w:id="56"/>
      <w:r>
        <w:rPr>
          <w:rFonts w:hint="eastAsia" w:ascii="黑体" w:hAnsi="黑体" w:eastAsia="黑体" w:cs="黑体"/>
          <w:b w:val="0"/>
          <w:bCs w:val="0"/>
        </w:rPr>
        <w:tab/>
      </w:r>
    </w:p>
    <w:p w14:paraId="0C6DA4E4">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9年一般公共预算财政拨款基本支出44.32万元，其中：</w:t>
      </w:r>
    </w:p>
    <w:p w14:paraId="680FB2FB">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34.47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9.85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628B92C">
      <w:pPr>
        <w:pStyle w:val="3"/>
        <w:ind w:firstLine="640" w:firstLineChars="200"/>
        <w:rPr>
          <w:rFonts w:ascii="黑体" w:hAnsi="黑体" w:eastAsia="黑体" w:cs="黑体"/>
          <w:b w:val="0"/>
          <w:bCs w:val="0"/>
        </w:rPr>
      </w:pPr>
      <w:bookmarkStart w:id="57" w:name="_Toc15377215"/>
      <w:bookmarkStart w:id="58" w:name="_Toc22020"/>
      <w:bookmarkStart w:id="59" w:name="_Toc15396609"/>
      <w:r>
        <w:rPr>
          <w:rFonts w:hint="eastAsia" w:ascii="黑体" w:hAnsi="黑体" w:eastAsia="黑体" w:cs="黑体"/>
          <w:b w:val="0"/>
          <w:bCs w:val="0"/>
        </w:rPr>
        <w:t>七、“三公”经费财政拨款支出决算情况说明</w:t>
      </w:r>
      <w:bookmarkEnd w:id="57"/>
      <w:bookmarkEnd w:id="58"/>
      <w:bookmarkEnd w:id="59"/>
    </w:p>
    <w:p w14:paraId="1FBE45B3">
      <w:pPr>
        <w:spacing w:line="600" w:lineRule="exact"/>
        <w:ind w:firstLine="640"/>
        <w:outlineLvl w:val="2"/>
        <w:rPr>
          <w:rFonts w:ascii="仿宋" w:hAnsi="仿宋" w:eastAsia="仿宋"/>
          <w:b/>
          <w:color w:val="000000"/>
          <w:sz w:val="32"/>
          <w:szCs w:val="32"/>
        </w:rPr>
      </w:pPr>
      <w:bookmarkStart w:id="60" w:name="_Toc15377216"/>
      <w:r>
        <w:rPr>
          <w:rFonts w:hint="eastAsia" w:ascii="仿宋" w:hAnsi="仿宋" w:eastAsia="仿宋"/>
          <w:b/>
          <w:color w:val="000000"/>
          <w:sz w:val="32"/>
          <w:szCs w:val="32"/>
        </w:rPr>
        <w:t>（一）“三公”经费财政拨款支出决算总体情况说明</w:t>
      </w:r>
      <w:bookmarkEnd w:id="60"/>
    </w:p>
    <w:p w14:paraId="0D22B65F">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2019年“三公”经费财政拨款支出决算为0万元，完成预算100%。</w:t>
      </w:r>
    </w:p>
    <w:p w14:paraId="6BC1E9F1">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14:paraId="7DD7BF2D">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14:paraId="5F35D1A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2019年“三公”经费财政拨款支出决算中，因公出国（境）费支出决算0万元，占0%；公务用车购置及运行维护费支出决算0万元，占0%；公务接待费支出决算0万元，占0%。具体情况如下：</w:t>
      </w:r>
    </w:p>
    <w:p w14:paraId="503E09D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542BAE70">
      <w:pPr>
        <w:spacing w:line="600" w:lineRule="exact"/>
        <w:ind w:firstLine="640"/>
        <w:rPr>
          <w:rFonts w:ascii="仿宋" w:hAnsi="仿宋" w:eastAsia="仿宋"/>
          <w:color w:val="000000"/>
          <w:sz w:val="32"/>
          <w:szCs w:val="32"/>
        </w:rPr>
      </w:pPr>
    </w:p>
    <w:p w14:paraId="2E1D43F1">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471805</wp:posOffset>
            </wp:positionH>
            <wp:positionV relativeFrom="paragraph">
              <wp:posOffset>17145</wp:posOffset>
            </wp:positionV>
            <wp:extent cx="3984625" cy="3533140"/>
            <wp:effectExtent l="5080" t="4445" r="10795"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E87905E">
      <w:pPr>
        <w:spacing w:line="600" w:lineRule="exact"/>
        <w:ind w:firstLine="640"/>
        <w:rPr>
          <w:rFonts w:ascii="仿宋" w:hAnsi="仿宋" w:eastAsia="仿宋"/>
          <w:color w:val="000000"/>
          <w:sz w:val="32"/>
          <w:szCs w:val="32"/>
        </w:rPr>
      </w:pPr>
    </w:p>
    <w:p w14:paraId="65D5BB94">
      <w:pPr>
        <w:spacing w:line="600" w:lineRule="exact"/>
        <w:ind w:firstLine="640"/>
        <w:rPr>
          <w:rFonts w:ascii="仿宋" w:hAnsi="仿宋" w:eastAsia="仿宋"/>
          <w:color w:val="000000"/>
          <w:sz w:val="32"/>
          <w:szCs w:val="32"/>
        </w:rPr>
      </w:pPr>
    </w:p>
    <w:p w14:paraId="2394C0E9">
      <w:pPr>
        <w:spacing w:line="600" w:lineRule="exact"/>
        <w:ind w:firstLine="640"/>
        <w:rPr>
          <w:rFonts w:ascii="仿宋" w:hAnsi="仿宋" w:eastAsia="仿宋"/>
          <w:color w:val="000000"/>
          <w:sz w:val="32"/>
          <w:szCs w:val="32"/>
        </w:rPr>
      </w:pPr>
    </w:p>
    <w:p w14:paraId="1292D8D5">
      <w:pPr>
        <w:spacing w:line="600" w:lineRule="exact"/>
        <w:ind w:firstLine="640"/>
        <w:rPr>
          <w:rFonts w:ascii="仿宋" w:hAnsi="仿宋" w:eastAsia="仿宋"/>
          <w:color w:val="000000"/>
          <w:sz w:val="32"/>
          <w:szCs w:val="32"/>
        </w:rPr>
      </w:pPr>
    </w:p>
    <w:p w14:paraId="4D7EBEA9">
      <w:pPr>
        <w:spacing w:line="600" w:lineRule="exact"/>
        <w:ind w:firstLine="640"/>
        <w:rPr>
          <w:rFonts w:ascii="仿宋" w:hAnsi="仿宋" w:eastAsia="仿宋"/>
          <w:color w:val="000000"/>
          <w:sz w:val="32"/>
          <w:szCs w:val="32"/>
        </w:rPr>
      </w:pPr>
    </w:p>
    <w:p w14:paraId="1251F655">
      <w:pPr>
        <w:spacing w:line="600" w:lineRule="exact"/>
        <w:ind w:firstLine="640"/>
        <w:rPr>
          <w:rFonts w:ascii="仿宋" w:hAnsi="仿宋" w:eastAsia="仿宋"/>
          <w:color w:val="000000"/>
          <w:sz w:val="32"/>
          <w:szCs w:val="32"/>
        </w:rPr>
      </w:pPr>
    </w:p>
    <w:p w14:paraId="09CC0826">
      <w:pPr>
        <w:spacing w:line="600" w:lineRule="exact"/>
        <w:ind w:firstLine="640"/>
        <w:rPr>
          <w:rFonts w:ascii="仿宋" w:hAnsi="仿宋" w:eastAsia="仿宋"/>
          <w:color w:val="000000"/>
          <w:sz w:val="32"/>
          <w:szCs w:val="32"/>
        </w:rPr>
      </w:pPr>
    </w:p>
    <w:p w14:paraId="4E46D4C2">
      <w:pPr>
        <w:spacing w:line="600" w:lineRule="exact"/>
        <w:rPr>
          <w:rFonts w:ascii="仿宋" w:hAnsi="仿宋" w:eastAsia="仿宋"/>
          <w:color w:val="000000"/>
          <w:sz w:val="32"/>
          <w:szCs w:val="32"/>
        </w:rPr>
      </w:pPr>
    </w:p>
    <w:p w14:paraId="1EEA6B93">
      <w:pPr>
        <w:spacing w:line="600" w:lineRule="exact"/>
        <w:ind w:firstLine="640"/>
        <w:rPr>
          <w:rFonts w:ascii="仿宋_GB2312" w:eastAsia="仿宋_GB2312"/>
          <w:b/>
          <w:color w:val="000000"/>
          <w:sz w:val="32"/>
          <w:szCs w:val="32"/>
        </w:rPr>
      </w:pPr>
    </w:p>
    <w:p w14:paraId="0FB3D960">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全年安排因公出国（境）团组0次，出国（境）0人。因公出国（境）支出决算比2018年增加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2911B39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公务用车购置及运行维护费支出决算比2018年增加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70B02C30">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14:paraId="633D3513">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14:paraId="2A00D767">
      <w:pPr>
        <w:spacing w:line="600" w:lineRule="auto"/>
        <w:ind w:firstLine="630" w:firstLineChars="196"/>
        <w:rPr>
          <w:rFonts w:ascii="仿宋_GB2312" w:eastAsia="仿宋_GB2312"/>
          <w:b/>
          <w:color w:val="000000"/>
          <w:sz w:val="32"/>
          <w:szCs w:val="32"/>
        </w:rPr>
      </w:pPr>
      <w:bookmarkStart w:id="61" w:name="_Toc15396610"/>
      <w:bookmarkStart w:id="62" w:name="_Toc15377218"/>
      <w:r>
        <w:rPr>
          <w:rFonts w:hint="eastAsia" w:ascii="仿宋_GB2312" w:eastAsia="仿宋_GB2312"/>
          <w:b/>
          <w:color w:val="000000"/>
          <w:sz w:val="32"/>
          <w:szCs w:val="32"/>
        </w:rPr>
        <w:t>3.公务接待费支出0万元，完成预算100%。公务接待费支出决算比2018年增加/减少0万元，增长/下降0.00%。</w:t>
      </w:r>
    </w:p>
    <w:p w14:paraId="75C30D2E">
      <w:pPr>
        <w:spacing w:line="600" w:lineRule="auto"/>
        <w:ind w:firstLine="578" w:firstLineChars="180"/>
        <w:rPr>
          <w:rFonts w:ascii="仿宋_GB2312" w:eastAsia="仿宋_GB2312"/>
          <w:b/>
          <w:color w:val="000000"/>
          <w:sz w:val="32"/>
          <w:szCs w:val="32"/>
        </w:rPr>
      </w:pPr>
      <w:r>
        <w:rPr>
          <w:rFonts w:hint="eastAsia" w:ascii="仿宋_GB2312" w:eastAsia="仿宋_GB2312"/>
          <w:b/>
          <w:color w:val="000000"/>
          <w:sz w:val="32"/>
          <w:szCs w:val="32"/>
        </w:rPr>
        <w:t>国内公务接待支出0万元。</w:t>
      </w:r>
    </w:p>
    <w:p w14:paraId="1DD43566">
      <w:pPr>
        <w:pStyle w:val="25"/>
        <w:spacing w:line="600" w:lineRule="auto"/>
        <w:ind w:left="420" w:leftChars="200" w:firstLine="157" w:firstLineChars="49"/>
        <w:rPr>
          <w:rFonts w:ascii="仿宋_GB2312" w:eastAsia="仿宋_GB2312"/>
          <w:color w:val="000000" w:themeColor="text1"/>
          <w:sz w:val="32"/>
          <w:szCs w:val="32"/>
        </w:rPr>
      </w:pPr>
      <w:r>
        <w:rPr>
          <w:rFonts w:hint="eastAsia" w:ascii="仿宋_GB2312" w:eastAsia="仿宋_GB2312"/>
          <w:b/>
          <w:color w:val="000000"/>
          <w:sz w:val="32"/>
          <w:szCs w:val="32"/>
        </w:rPr>
        <w:t>外事接待支出0万元。外事接待0批次，0人，共计支出0万元</w:t>
      </w:r>
      <w:r>
        <w:rPr>
          <w:rFonts w:hint="eastAsia" w:ascii="仿宋_GB2312" w:eastAsia="仿宋_GB2312"/>
          <w:color w:val="000000" w:themeColor="text1"/>
          <w:sz w:val="32"/>
          <w:szCs w:val="32"/>
        </w:rPr>
        <w:t>。</w:t>
      </w:r>
    </w:p>
    <w:p w14:paraId="219EBD70">
      <w:pPr>
        <w:pStyle w:val="3"/>
        <w:rPr>
          <w:rFonts w:ascii="黑体" w:hAnsi="黑体" w:eastAsia="黑体" w:cs="黑体"/>
          <w:b w:val="0"/>
          <w:bCs w:val="0"/>
        </w:rPr>
      </w:pPr>
      <w:bookmarkStart w:id="63" w:name="_Toc31214"/>
      <w:r>
        <w:rPr>
          <w:rFonts w:hint="eastAsia" w:ascii="黑体" w:hAnsi="黑体" w:eastAsia="黑体" w:cs="黑体"/>
          <w:b w:val="0"/>
          <w:bCs w:val="0"/>
        </w:rPr>
        <w:t>八、政府性基金预算支出决算情况说明</w:t>
      </w:r>
      <w:bookmarkEnd w:id="61"/>
      <w:bookmarkEnd w:id="62"/>
      <w:bookmarkEnd w:id="63"/>
    </w:p>
    <w:p w14:paraId="12A87998">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9年政府性基金预算拨款支出25284.50万元。</w:t>
      </w:r>
    </w:p>
    <w:p w14:paraId="0D664430">
      <w:pPr>
        <w:spacing w:line="600" w:lineRule="exact"/>
        <w:ind w:firstLine="640"/>
        <w:rPr>
          <w:rFonts w:ascii="仿宋_GB2312" w:eastAsia="仿宋_GB2312"/>
          <w:color w:val="000000"/>
          <w:sz w:val="32"/>
          <w:szCs w:val="32"/>
        </w:rPr>
      </w:pPr>
    </w:p>
    <w:p w14:paraId="0B5AA1A4">
      <w:pPr>
        <w:pStyle w:val="3"/>
        <w:ind w:firstLine="640" w:firstLineChars="200"/>
        <w:rPr>
          <w:rFonts w:ascii="黑体" w:hAnsi="黑体" w:eastAsia="黑体" w:cs="黑体"/>
          <w:b w:val="0"/>
          <w:bCs w:val="0"/>
        </w:rPr>
      </w:pPr>
      <w:bookmarkStart w:id="64" w:name="_Toc15396611"/>
      <w:bookmarkStart w:id="65" w:name="_Toc8098"/>
      <w:bookmarkStart w:id="66" w:name="_Toc15377219"/>
      <w:r>
        <w:rPr>
          <w:rFonts w:hint="eastAsia" w:ascii="黑体" w:hAnsi="黑体" w:eastAsia="黑体" w:cs="黑体"/>
          <w:b w:val="0"/>
          <w:bCs w:val="0"/>
        </w:rPr>
        <w:t>九、国有资本经营预算支出决算情况说明</w:t>
      </w:r>
      <w:bookmarkEnd w:id="64"/>
      <w:bookmarkEnd w:id="65"/>
      <w:bookmarkEnd w:id="66"/>
    </w:p>
    <w:p w14:paraId="5E330304">
      <w:pPr>
        <w:spacing w:line="600" w:lineRule="exact"/>
        <w:ind w:firstLine="640"/>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3C1F73E5">
      <w:pPr>
        <w:pStyle w:val="3"/>
        <w:ind w:firstLine="640" w:firstLineChars="200"/>
        <w:rPr>
          <w:rFonts w:ascii="黑体" w:hAnsi="黑体" w:eastAsia="黑体" w:cs="黑体"/>
          <w:b w:val="0"/>
          <w:bCs w:val="0"/>
        </w:rPr>
      </w:pPr>
      <w:bookmarkStart w:id="67" w:name="_Toc15377221"/>
      <w:bookmarkStart w:id="68" w:name="_Toc6939"/>
      <w:bookmarkStart w:id="69" w:name="_Toc15396612"/>
      <w:r>
        <w:rPr>
          <w:rFonts w:hint="eastAsia" w:ascii="黑体" w:hAnsi="黑体" w:eastAsia="黑体" w:cs="黑体"/>
          <w:b w:val="0"/>
          <w:bCs w:val="0"/>
        </w:rPr>
        <w:t>十、其他重要事项的情况说明</w:t>
      </w:r>
      <w:bookmarkEnd w:id="67"/>
      <w:bookmarkEnd w:id="68"/>
      <w:bookmarkEnd w:id="69"/>
    </w:p>
    <w:p w14:paraId="56971734">
      <w:pPr>
        <w:spacing w:line="600" w:lineRule="exact"/>
        <w:ind w:firstLine="643" w:firstLineChars="200"/>
        <w:outlineLvl w:val="2"/>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14:paraId="0717D792">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乐山高新技术产业开发区土地储备中心(本级)</w:t>
      </w:r>
      <w:r>
        <w:rPr>
          <w:rFonts w:hint="eastAsia" w:ascii="仿宋_GB2312" w:eastAsia="仿宋_GB2312"/>
          <w:color w:val="000000"/>
          <w:sz w:val="32"/>
          <w:szCs w:val="32"/>
        </w:rPr>
        <w:t>机关运行经费支出0万元，与2019年决算数持平。</w:t>
      </w:r>
    </w:p>
    <w:p w14:paraId="37433B3E">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29BCC11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39134CB7">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乐山高新技术产业开发区土地储备中心(本级)</w:t>
      </w:r>
      <w:r>
        <w:rPr>
          <w:rFonts w:hint="eastAsia" w:ascii="仿宋_GB2312" w:eastAsia="仿宋_GB2312"/>
          <w:color w:val="000000"/>
          <w:sz w:val="32"/>
          <w:szCs w:val="32"/>
        </w:rPr>
        <w:t>政府采购支出总额166.88万元，其中：政府采购货物支出0万元、政府采购工程支出0万元、政府采购服务支出166.88万元。</w:t>
      </w:r>
    </w:p>
    <w:p w14:paraId="3BC6501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2ABE5F80">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 w:hAnsi="仿宋" w:eastAsia="仿宋"/>
          <w:sz w:val="32"/>
          <w:szCs w:val="32"/>
        </w:rPr>
        <w:t>乐山高新技术产业开发区土地储备中心(本级)</w:t>
      </w:r>
      <w:r>
        <w:rPr>
          <w:rFonts w:hint="eastAsia" w:ascii="仿宋_GB2312" w:eastAsia="仿宋_GB2312"/>
          <w:color w:val="000000"/>
          <w:sz w:val="32"/>
          <w:szCs w:val="32"/>
        </w:rPr>
        <w:t>共有车辆0辆，其中：主要领导干部用车0辆、机要通信用车0辆、应急保障用车0辆、其他用车0辆……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14:paraId="5B486B2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8ACECC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土地报批相关费用项目、水源地保护项目开展了预算事前绩效评估，对1个项目编制了绩效目标，预算执行过程中，选取1个项目开展绩效监控，年终执行完毕后，对1个项目开展了绩效目标完成情况自评。</w:t>
      </w:r>
    </w:p>
    <w:p w14:paraId="42B0D25A">
      <w:pPr>
        <w:spacing w:line="58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本部门按要求对2019年部门整体支出开展绩效自评，从评价情况来看土地报批相关费用项目已完成园区部分城市建设用地土地勘测定界，不仅为后期项目用地提供的有力的保障，而且还</w:t>
      </w:r>
      <w:r>
        <w:rPr>
          <w:rFonts w:ascii="仿宋_GB2312" w:hAnsi="仿宋_GB2312" w:eastAsia="仿宋_GB2312" w:cs="仿宋_GB2312"/>
          <w:sz w:val="32"/>
          <w:szCs w:val="32"/>
        </w:rPr>
        <w:t>优</w:t>
      </w:r>
      <w:r>
        <w:rPr>
          <w:rFonts w:ascii="仿宋_GB2312" w:hAnsi="宋体" w:eastAsia="仿宋_GB2312"/>
          <w:sz w:val="32"/>
          <w:szCs w:val="32"/>
        </w:rPr>
        <w:t>化城乡用地布局，提高土地节约集约利用水平，强化规划管理和用途管制，促进经济社会持续健康发展</w:t>
      </w:r>
      <w:r>
        <w:rPr>
          <w:rFonts w:hint="eastAsia" w:ascii="仿宋_GB2312" w:hAnsi="宋体" w:eastAsia="仿宋_GB2312"/>
          <w:sz w:val="32"/>
          <w:szCs w:val="32"/>
        </w:rPr>
        <w:t>。</w:t>
      </w:r>
    </w:p>
    <w:p w14:paraId="7B843543">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本部门在2019年度部门决算中反映土地报批相关费用项目绩效目标实际完成情况。</w:t>
      </w:r>
    </w:p>
    <w:p w14:paraId="0930C5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（1）土地报批相关费用绩效目标完成情况综述：项目全年预算数6295万元，执行数为</w:t>
      </w:r>
      <w:r>
        <w:rPr>
          <w:rFonts w:hint="eastAsia" w:ascii="仿宋_GB2312" w:hAnsi="仿宋_GB2312" w:eastAsia="仿宋_GB2312" w:cs="仿宋_GB2312"/>
          <w:sz w:val="32"/>
          <w:szCs w:val="32"/>
          <w:lang w:val="zh-CN"/>
        </w:rPr>
        <w:t>457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9</w:t>
      </w:r>
      <w:r>
        <w:rPr>
          <w:rFonts w:hint="eastAsia" w:ascii="仿宋_GB2312" w:hAnsi="仿宋_GB2312" w:eastAsia="仿宋_GB2312" w:cs="仿宋_GB2312"/>
          <w:sz w:val="32"/>
          <w:szCs w:val="32"/>
        </w:rPr>
        <w:t>9万元，完成预算的7.28%。通过项目实施，</w:t>
      </w:r>
      <w:r>
        <w:rPr>
          <w:rFonts w:hint="eastAsia" w:ascii="仿宋_GB2312" w:hAnsi="仿宋_GB2312" w:eastAsia="仿宋_GB2312" w:cs="仿宋_GB2312"/>
          <w:sz w:val="32"/>
          <w:szCs w:val="32"/>
          <w:lang w:val="zh-CN"/>
        </w:rPr>
        <w:t>认真落实党中央、国务院关于加强土地利用总体规划调整完善工作的重要指示，分解落实耕地保有量、基本农田保护面积和建设项目用地规模等指标，加强耕地和基本农田保护，优化城乡用地布局，提高土地节约集约利用水平，强化规划管理和用途管制，</w:t>
      </w:r>
      <w:r>
        <w:rPr>
          <w:rFonts w:hint="eastAsia" w:ascii="仿宋_GB2312" w:hAnsi="仿宋_GB2312" w:eastAsia="仿宋_GB2312" w:cs="仿宋_GB2312"/>
          <w:sz w:val="32"/>
          <w:szCs w:val="32"/>
        </w:rPr>
        <w:t>保障2019年土地报批工作顺利开展，完成园区部分城市建设用地土地勘测定界以及园区城市建设用地土地利用总体规划审查、地类核对工作，完成2019年度年度土地报批计划，确保总部经济区项目用地。</w:t>
      </w:r>
    </w:p>
    <w:p w14:paraId="33F3893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发现的主要问题：预算编制不准确，年初预算数6295万元，目前实际支付457.99万元，预算执行力有待提高。</w:t>
      </w:r>
    </w:p>
    <w:p w14:paraId="1ED04A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p>
    <w:p w14:paraId="3AED5E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方面，乐山高新区土地储备中心作为高新区土地利用总体规划的主管部门，要严格按照国土资源部批准的乐山高新区土地利用总体规划划定的红线，认真强化土地利用规划管理和用途管控，加强耕地和基本农田保护，优化城乡用地布局，提高土地节约集约利用水平，促进经济社会持续健康发展。</w:t>
      </w:r>
    </w:p>
    <w:p w14:paraId="52F5E963">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EEDC66C">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CA26C00">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03C87A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8D0DC">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13C1E">
            <w:pPr>
              <w:widowControl/>
              <w:jc w:val="center"/>
              <w:textAlignment w:val="center"/>
              <w:rPr>
                <w:rFonts w:ascii="宋体" w:hAnsi="宋体" w:cs="宋体"/>
                <w:color w:val="000000"/>
                <w:sz w:val="24"/>
              </w:rPr>
            </w:pPr>
            <w:r>
              <w:rPr>
                <w:rFonts w:hint="eastAsia" w:ascii="宋体" w:hAnsi="宋体" w:cs="宋体"/>
                <w:color w:val="000000"/>
                <w:sz w:val="24"/>
              </w:rPr>
              <w:t>土地报批相关费用</w:t>
            </w:r>
          </w:p>
        </w:tc>
      </w:tr>
      <w:tr w14:paraId="445B63C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7B639">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A2D58">
            <w:pPr>
              <w:widowControl/>
              <w:jc w:val="center"/>
              <w:textAlignment w:val="center"/>
              <w:rPr>
                <w:rFonts w:ascii="宋体" w:hAnsi="宋体" w:cs="宋体"/>
                <w:color w:val="000000"/>
                <w:sz w:val="24"/>
              </w:rPr>
            </w:pPr>
            <w:r>
              <w:rPr>
                <w:rFonts w:hint="eastAsia" w:ascii="宋体" w:hAnsi="宋体" w:cs="宋体"/>
                <w:color w:val="000000"/>
                <w:sz w:val="24"/>
              </w:rPr>
              <w:t>乐山高新技术产业开发区土地储备中心</w:t>
            </w:r>
          </w:p>
          <w:p w14:paraId="27E592AD">
            <w:pPr>
              <w:widowControl/>
              <w:jc w:val="center"/>
              <w:textAlignment w:val="center"/>
              <w:rPr>
                <w:rFonts w:ascii="宋体" w:hAnsi="宋体" w:cs="宋体"/>
                <w:color w:val="000000"/>
                <w:sz w:val="24"/>
              </w:rPr>
            </w:pPr>
          </w:p>
        </w:tc>
      </w:tr>
      <w:tr w14:paraId="7DCCF20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DEBF6">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580B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31918">
            <w:pPr>
              <w:widowControl/>
              <w:jc w:val="center"/>
              <w:textAlignment w:val="center"/>
              <w:rPr>
                <w:rFonts w:ascii="宋体" w:hAnsi="宋体" w:cs="宋体"/>
                <w:color w:val="000000"/>
                <w:sz w:val="24"/>
              </w:rPr>
            </w:pPr>
            <w:r>
              <w:rPr>
                <w:rFonts w:hint="eastAsia" w:ascii="宋体" w:hAnsi="宋体" w:cs="宋体"/>
                <w:color w:val="000000"/>
                <w:sz w:val="24"/>
              </w:rPr>
              <w:t>6295</w:t>
            </w:r>
            <w:r>
              <w:rPr>
                <w:rFonts w:hint="eastAsia" w:ascii="宋体" w:hAnsi="宋体" w:cs="宋体"/>
                <w:color w:val="000000"/>
                <w:sz w:val="24"/>
                <w:lang w:val="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C68C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85D96">
            <w:pPr>
              <w:widowControl/>
              <w:jc w:val="center"/>
              <w:textAlignment w:val="center"/>
              <w:rPr>
                <w:rFonts w:ascii="宋体" w:hAnsi="宋体" w:cs="宋体"/>
                <w:color w:val="000000"/>
                <w:sz w:val="24"/>
              </w:rPr>
            </w:pPr>
            <w:r>
              <w:rPr>
                <w:rFonts w:hint="eastAsia" w:ascii="宋体" w:hAnsi="宋体" w:cs="宋体"/>
                <w:color w:val="000000"/>
                <w:sz w:val="24"/>
                <w:lang w:val="zh-CN"/>
              </w:rPr>
              <w:t>457</w:t>
            </w:r>
            <w:r>
              <w:rPr>
                <w:rFonts w:hint="eastAsia" w:ascii="宋体" w:hAnsi="宋体" w:cs="宋体"/>
                <w:color w:val="000000"/>
                <w:sz w:val="24"/>
              </w:rPr>
              <w:t>.</w:t>
            </w:r>
            <w:r>
              <w:rPr>
                <w:rFonts w:hint="eastAsia" w:ascii="宋体" w:hAnsi="宋体" w:cs="宋体"/>
                <w:color w:val="000000"/>
                <w:sz w:val="24"/>
                <w:lang w:val="zh-CN"/>
              </w:rPr>
              <w:t>9</w:t>
            </w:r>
            <w:r>
              <w:rPr>
                <w:rFonts w:hint="eastAsia" w:ascii="宋体" w:hAnsi="宋体" w:cs="宋体"/>
                <w:color w:val="000000"/>
                <w:sz w:val="24"/>
              </w:rPr>
              <w:t>9万元</w:t>
            </w:r>
          </w:p>
        </w:tc>
      </w:tr>
      <w:tr w14:paraId="4976678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0DA3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B54F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9168E">
            <w:pPr>
              <w:widowControl/>
              <w:jc w:val="center"/>
              <w:textAlignment w:val="center"/>
              <w:rPr>
                <w:rFonts w:ascii="宋体" w:hAnsi="宋体" w:cs="宋体"/>
                <w:color w:val="000000"/>
                <w:sz w:val="24"/>
              </w:rPr>
            </w:pPr>
            <w:r>
              <w:rPr>
                <w:rFonts w:hint="eastAsia" w:ascii="宋体" w:hAnsi="宋体" w:cs="宋体"/>
                <w:color w:val="000000"/>
                <w:sz w:val="24"/>
              </w:rPr>
              <w:t>6295</w:t>
            </w:r>
            <w:r>
              <w:rPr>
                <w:rFonts w:hint="eastAsia" w:ascii="宋体" w:hAnsi="宋体" w:cs="宋体"/>
                <w:color w:val="000000"/>
                <w:sz w:val="24"/>
                <w:lang w:val="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2ED2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6807A">
            <w:pPr>
              <w:widowControl/>
              <w:jc w:val="center"/>
              <w:textAlignment w:val="center"/>
              <w:rPr>
                <w:rFonts w:ascii="宋体" w:hAnsi="宋体" w:cs="宋体"/>
                <w:color w:val="000000"/>
                <w:sz w:val="24"/>
              </w:rPr>
            </w:pPr>
            <w:r>
              <w:rPr>
                <w:rFonts w:hint="eastAsia" w:ascii="宋体" w:hAnsi="宋体" w:cs="宋体"/>
                <w:color w:val="000000"/>
                <w:sz w:val="24"/>
                <w:lang w:val="zh-CN"/>
              </w:rPr>
              <w:t>457</w:t>
            </w:r>
            <w:r>
              <w:rPr>
                <w:rFonts w:hint="eastAsia" w:ascii="宋体" w:hAnsi="宋体" w:cs="宋体"/>
                <w:color w:val="000000"/>
                <w:sz w:val="24"/>
              </w:rPr>
              <w:t>.</w:t>
            </w:r>
            <w:r>
              <w:rPr>
                <w:rFonts w:hint="eastAsia" w:ascii="宋体" w:hAnsi="宋体" w:cs="宋体"/>
                <w:color w:val="000000"/>
                <w:sz w:val="24"/>
                <w:lang w:val="zh-CN"/>
              </w:rPr>
              <w:t>9</w:t>
            </w:r>
            <w:r>
              <w:rPr>
                <w:rFonts w:hint="eastAsia" w:ascii="宋体" w:hAnsi="宋体" w:cs="宋体"/>
                <w:color w:val="000000"/>
                <w:sz w:val="24"/>
              </w:rPr>
              <w:t>9万元</w:t>
            </w:r>
          </w:p>
        </w:tc>
      </w:tr>
      <w:tr w14:paraId="788CD1E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1DB7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225C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F864A">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91A9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DB448">
            <w:pPr>
              <w:jc w:val="center"/>
              <w:rPr>
                <w:rFonts w:ascii="宋体" w:hAnsi="宋体" w:cs="宋体"/>
                <w:color w:val="000000"/>
                <w:sz w:val="24"/>
              </w:rPr>
            </w:pPr>
            <w:r>
              <w:rPr>
                <w:rFonts w:hint="eastAsia" w:ascii="宋体" w:hAnsi="宋体" w:cs="宋体"/>
                <w:color w:val="000000"/>
                <w:sz w:val="24"/>
              </w:rPr>
              <w:t>0</w:t>
            </w:r>
          </w:p>
        </w:tc>
      </w:tr>
      <w:tr w14:paraId="206CC8F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325C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DB1B3">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C6A9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901945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1E7D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13700">
            <w:pPr>
              <w:widowControl/>
              <w:textAlignment w:val="center"/>
              <w:rPr>
                <w:rFonts w:ascii="宋体" w:hAnsi="宋体" w:cs="宋体"/>
                <w:color w:val="000000"/>
                <w:sz w:val="24"/>
              </w:rPr>
            </w:pPr>
            <w:r>
              <w:rPr>
                <w:rFonts w:ascii="宋体" w:hAnsi="宋体" w:cs="宋体"/>
                <w:color w:val="000000"/>
                <w:sz w:val="24"/>
              </w:rPr>
              <w:t>分解落实耕地保有量、基本农田保护面积和建设项目用地规模等指标，加强耕地和基本农田保护，优化城乡用地布局，提高土地节约集约利用水平，强化规划管理和用途管制，保障2019年土地报批工作顺利开展，完成园区部分城市建设用地土地勘测定界以及园区城市建设用地土地利用总体规划审查、地类核对工作，完成2019年度年度土地报批计划，确保总部经济区项目用地。</w:t>
            </w:r>
          </w:p>
          <w:p w14:paraId="0B1C376A">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8A97D">
            <w:pPr>
              <w:widowControl/>
              <w:jc w:val="center"/>
              <w:textAlignment w:val="center"/>
              <w:rPr>
                <w:rFonts w:ascii="宋体" w:hAnsi="宋体" w:cs="宋体"/>
                <w:color w:val="000000"/>
                <w:sz w:val="24"/>
                <w:lang w:val="zh-CN"/>
              </w:rPr>
            </w:pPr>
            <w:r>
              <w:rPr>
                <w:rFonts w:hint="eastAsia" w:ascii="宋体" w:hAnsi="宋体" w:cs="宋体"/>
                <w:color w:val="000000"/>
                <w:sz w:val="24"/>
              </w:rPr>
              <w:t>已完成园区部分城市建设用地土地勘测定界</w:t>
            </w:r>
            <w:r>
              <w:rPr>
                <w:rFonts w:hint="eastAsia" w:ascii="宋体" w:hAnsi="宋体" w:cs="宋体"/>
                <w:color w:val="000000"/>
                <w:sz w:val="24"/>
                <w:lang w:val="zh-CN"/>
              </w:rPr>
              <w:t>。</w:t>
            </w:r>
          </w:p>
          <w:p w14:paraId="3382008D">
            <w:pPr>
              <w:widowControl/>
              <w:jc w:val="center"/>
              <w:textAlignment w:val="center"/>
              <w:rPr>
                <w:rFonts w:ascii="宋体" w:hAnsi="宋体" w:cs="宋体"/>
                <w:color w:val="000000"/>
                <w:sz w:val="24"/>
              </w:rPr>
            </w:pPr>
          </w:p>
        </w:tc>
      </w:tr>
      <w:tr w14:paraId="20C5B26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A7E4F46">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C6B7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C6F5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6FDF0">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60B45">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2292F">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987B80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672975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400E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42E18">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DD240">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0FD89">
            <w:pPr>
              <w:widowControl/>
              <w:jc w:val="center"/>
              <w:textAlignment w:val="center"/>
              <w:rPr>
                <w:rFonts w:ascii="宋体" w:hAnsi="宋体" w:cs="宋体"/>
                <w:color w:val="000000"/>
                <w:sz w:val="24"/>
              </w:rPr>
            </w:pPr>
            <w:r>
              <w:rPr>
                <w:rFonts w:hint="eastAsia" w:ascii="宋体" w:hAnsi="宋体" w:cs="宋体"/>
                <w:color w:val="000000"/>
                <w:sz w:val="24"/>
              </w:rPr>
              <w:t>完成园区部分城市建设用地土地勘测定界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DBC05">
            <w:pPr>
              <w:widowControl/>
              <w:jc w:val="center"/>
              <w:textAlignment w:val="center"/>
              <w:rPr>
                <w:rFonts w:ascii="宋体" w:hAnsi="宋体" w:cs="宋体"/>
                <w:color w:val="000000"/>
                <w:sz w:val="24"/>
              </w:rPr>
            </w:pPr>
            <w:r>
              <w:rPr>
                <w:rFonts w:hint="eastAsia" w:ascii="宋体" w:hAnsi="宋体" w:cs="宋体"/>
                <w:color w:val="000000"/>
                <w:sz w:val="24"/>
              </w:rPr>
              <w:t>完成园区部分城市建设用地土地勘测定界</w:t>
            </w:r>
          </w:p>
        </w:tc>
      </w:tr>
      <w:tr w14:paraId="07E1143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0412A1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783C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779BB">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98884">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9C2A9">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E2170">
            <w:pPr>
              <w:widowControl/>
              <w:jc w:val="center"/>
              <w:textAlignment w:val="center"/>
              <w:rPr>
                <w:rFonts w:ascii="宋体" w:hAnsi="宋体" w:cs="宋体"/>
                <w:color w:val="000000"/>
                <w:sz w:val="24"/>
              </w:rPr>
            </w:pPr>
          </w:p>
        </w:tc>
      </w:tr>
      <w:tr w14:paraId="6CF95D9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A715FE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EBD5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9DEA8">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4370">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637AF">
            <w:pPr>
              <w:widowControl/>
              <w:jc w:val="center"/>
              <w:textAlignment w:val="center"/>
              <w:rPr>
                <w:rFonts w:ascii="宋体" w:hAnsi="宋体" w:cs="宋体"/>
                <w:color w:val="000000"/>
                <w:sz w:val="24"/>
              </w:rPr>
            </w:pPr>
            <w:r>
              <w:rPr>
                <w:rFonts w:ascii="宋体" w:hAnsi="宋体" w:cs="宋体"/>
                <w:color w:val="000000"/>
                <w:sz w:val="24"/>
              </w:rPr>
              <w:t>完成2019年度年度土地报批计划，确保总部经济区项目用地。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5CA28">
            <w:pPr>
              <w:widowControl/>
              <w:jc w:val="center"/>
              <w:textAlignment w:val="center"/>
              <w:rPr>
                <w:rFonts w:ascii="宋体" w:hAnsi="宋体" w:cs="宋体"/>
                <w:color w:val="000000"/>
                <w:sz w:val="24"/>
              </w:rPr>
            </w:pPr>
            <w:r>
              <w:rPr>
                <w:rFonts w:ascii="宋体" w:hAnsi="宋体" w:cs="宋体"/>
                <w:color w:val="000000"/>
                <w:sz w:val="24"/>
              </w:rPr>
              <w:t>完成2019年度年度土地报批计划，确保总部经济区项目用地。</w:t>
            </w:r>
          </w:p>
        </w:tc>
      </w:tr>
      <w:tr w14:paraId="3BB2E05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96CF56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23E4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9CAAA">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1136E">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2E424">
            <w:pPr>
              <w:widowControl/>
              <w:jc w:val="center"/>
              <w:textAlignment w:val="center"/>
              <w:rPr>
                <w:rFonts w:ascii="宋体" w:hAnsi="宋体" w:cs="宋体"/>
                <w:color w:val="000000"/>
                <w:sz w:val="24"/>
              </w:rPr>
            </w:pPr>
            <w:r>
              <w:rPr>
                <w:rFonts w:hint="eastAsia" w:ascii="宋体" w:hAns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60D1C">
            <w:pPr>
              <w:widowControl/>
              <w:jc w:val="center"/>
              <w:textAlignment w:val="center"/>
              <w:rPr>
                <w:rFonts w:ascii="宋体" w:hAnsi="宋体" w:cs="宋体"/>
                <w:color w:val="000000"/>
                <w:sz w:val="24"/>
              </w:rPr>
            </w:pPr>
            <w:r>
              <w:rPr>
                <w:rFonts w:hint="eastAsia" w:ascii="宋体" w:hAnsi="宋体" w:cs="宋体"/>
                <w:color w:val="000000"/>
                <w:sz w:val="24"/>
              </w:rPr>
              <w:t>满意</w:t>
            </w:r>
          </w:p>
        </w:tc>
      </w:tr>
    </w:tbl>
    <w:p w14:paraId="3F7AC1FC">
      <w:pPr>
        <w:spacing w:line="580" w:lineRule="exact"/>
        <w:ind w:left="630"/>
        <w:rPr>
          <w:rFonts w:ascii="仿宋_GB2312" w:hAnsi="仿宋_GB2312" w:eastAsia="仿宋_GB2312" w:cs="仿宋_GB2312"/>
          <w:sz w:val="32"/>
          <w:szCs w:val="32"/>
        </w:rPr>
      </w:pPr>
    </w:p>
    <w:p w14:paraId="0A74C8C7">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0454BF22">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土地报批相关费用、水源地保护项目开展了绩效评价，《土地报批相关费用项目2019年绩效评价报告》见附件（附件1）。（非涉密部门均需公开部门整体支出评价报告，部门自行组织的绩效评价情况根据部门实际公开，若未组织项目绩效评价，则只需说明部门整体支出绩效评价情况）</w:t>
      </w:r>
    </w:p>
    <w:p w14:paraId="47D75649">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19F1D94D">
      <w:pPr>
        <w:pStyle w:val="2"/>
        <w:numPr>
          <w:ilvl w:val="0"/>
          <w:numId w:val="4"/>
        </w:numPr>
        <w:jc w:val="center"/>
        <w:rPr>
          <w:rFonts w:ascii="黑体" w:hAnsi="黑体" w:eastAsia="黑体" w:cs="黑体"/>
          <w:b w:val="0"/>
          <w:bCs w:val="0"/>
        </w:rPr>
      </w:pPr>
      <w:bookmarkStart w:id="73" w:name="_Toc15377225"/>
      <w:bookmarkStart w:id="74" w:name="_Toc15396613"/>
      <w:bookmarkStart w:id="75" w:name="_Toc16416"/>
      <w:r>
        <w:rPr>
          <w:rFonts w:hint="eastAsia" w:ascii="黑体" w:hAnsi="黑体" w:eastAsia="黑体" w:cs="黑体"/>
          <w:b w:val="0"/>
          <w:bCs w:val="0"/>
        </w:rPr>
        <w:t>名词解释</w:t>
      </w:r>
      <w:bookmarkEnd w:id="73"/>
      <w:bookmarkEnd w:id="74"/>
      <w:bookmarkEnd w:id="75"/>
    </w:p>
    <w:p w14:paraId="6A3F93BE">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CF8D38D">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51DD55AF">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14:paraId="15221397">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4FD4B0A5">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315B90A7">
      <w:pPr>
        <w:spacing w:line="60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一般公共服务（类）政府办公厅（室）及相关机构事务（款）行政运行（项）:指市政府法制办用于保障机构正常运行、开展日常工作的基本支出。</w:t>
      </w:r>
    </w:p>
    <w:p w14:paraId="1C386337">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反映事业单位的基本支出，不包括行政单位的（包括施行公务员管理的事业单位）、后勤服务中心、医务室等附属事业单位。</w:t>
      </w:r>
    </w:p>
    <w:p w14:paraId="1BBBBCF3">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国防支出（类）国防动员（款）人民防空（项）：指反映人民防空项目支出。</w:t>
      </w:r>
    </w:p>
    <w:p w14:paraId="5DA3AE6F">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节能环保（类）污染防治（款）水体（项）：指反映水体污染防治项目支出。</w:t>
      </w:r>
    </w:p>
    <w:p w14:paraId="7B5595C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6174952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484FC2A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12.城乡社区（类）城乡社区环境卫生（款）城乡社区环境卫生（项）：指反映城乡社区环境卫生项目支出。</w:t>
      </w:r>
    </w:p>
    <w:p w14:paraId="0030A22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13.农林水支出（类）农业（款）防灾救灾（项）：指反映农业防灾救灾项目支出。</w:t>
      </w:r>
    </w:p>
    <w:p w14:paraId="21C3A598">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14.农林水支出（类）水利（款）水利工程运行与维护(项):指反映水利工程运行和维护项目支出。</w:t>
      </w:r>
    </w:p>
    <w:p w14:paraId="19A05FA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15.农林水支出（类）水利（款）防汛（项）：指反映水利防汛项目支出。</w:t>
      </w:r>
    </w:p>
    <w:p w14:paraId="7DF68E3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16.农林水支出（类）水利（款）江河湖库水系综合整治（项）：指反映江河湖库水系综合整治项目支出。</w:t>
      </w:r>
    </w:p>
    <w:p w14:paraId="36CFCD2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17.交通运输支出（类）公路水路运输（款）公路和运输安全（项）：指反映公路水路运输安全项目支出。</w:t>
      </w:r>
    </w:p>
    <w:p w14:paraId="54FFE906">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18.交通运输支出（类）其他交通运输支出（款）其他交通运输支出（项）：指反映行政单位的（包括施行公务员管理的事业单位）未单独设置项级科目的其他交通运输项目支出。</w:t>
      </w:r>
    </w:p>
    <w:p w14:paraId="5759D341">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资源勘探信息等支出（类）支持中小企业发展和管理支出（款）其他支持中小企业发展和管理支出（项）：指反映行政单位的（包括施行公务员管理的事业单位）未单独设置项级科目的其他支持中小企业发展和管理的项目支出。</w:t>
      </w:r>
    </w:p>
    <w:p w14:paraId="0B6EC6BB">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20.住房保障（类）保障性安居工程支出（款）保障性安居工程支出（项）：指反映保障性安居工程项目支出。</w:t>
      </w:r>
    </w:p>
    <w:p w14:paraId="00573CED">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A65CDE2">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1EAC1D3D">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01E18F48">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5FC3AA">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B7F066">
      <w:pPr>
        <w:spacing w:line="600" w:lineRule="exact"/>
        <w:jc w:val="left"/>
        <w:rPr>
          <w:rFonts w:ascii="宋体"/>
          <w:b/>
          <w:color w:val="000000"/>
          <w:sz w:val="44"/>
          <w:szCs w:val="44"/>
        </w:rPr>
      </w:pPr>
    </w:p>
    <w:p w14:paraId="68300815">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280B2CBC">
      <w:pPr>
        <w:spacing w:line="600" w:lineRule="exact"/>
        <w:jc w:val="center"/>
        <w:outlineLvl w:val="0"/>
        <w:rPr>
          <w:rStyle w:val="26"/>
        </w:rPr>
      </w:pPr>
      <w:bookmarkStart w:id="76" w:name="_Toc15377226"/>
      <w:r>
        <w:rPr>
          <w:rFonts w:ascii="宋体"/>
          <w:b/>
          <w:color w:val="000000"/>
          <w:sz w:val="44"/>
          <w:szCs w:val="44"/>
        </w:rPr>
        <w:br w:type="page"/>
      </w:r>
      <w:bookmarkStart w:id="77" w:name="_Toc13108"/>
      <w:bookmarkStart w:id="78" w:name="_Toc15396614"/>
      <w:r>
        <w:rPr>
          <w:rStyle w:val="26"/>
          <w:rFonts w:hint="eastAsia"/>
        </w:rPr>
        <w:t>第四部分 附件</w:t>
      </w:r>
      <w:bookmarkEnd w:id="77"/>
      <w:bookmarkEnd w:id="78"/>
    </w:p>
    <w:p w14:paraId="04C9EBD8">
      <w:pPr>
        <w:pStyle w:val="2"/>
        <w:rPr>
          <w:rFonts w:ascii="黑体" w:hAnsi="黑体" w:eastAsia="黑体" w:cs="黑体"/>
          <w:b w:val="0"/>
          <w:bCs w:val="0"/>
          <w:sz w:val="32"/>
          <w:szCs w:val="32"/>
        </w:rPr>
      </w:pPr>
      <w:bookmarkStart w:id="79" w:name="_Toc31296"/>
      <w:r>
        <w:rPr>
          <w:rFonts w:hint="eastAsia" w:ascii="黑体" w:hAnsi="黑体" w:eastAsia="黑体" w:cs="黑体"/>
          <w:b w:val="0"/>
          <w:bCs w:val="0"/>
          <w:sz w:val="32"/>
          <w:szCs w:val="32"/>
        </w:rPr>
        <w:t>附件1</w:t>
      </w:r>
      <w:bookmarkEnd w:id="79"/>
    </w:p>
    <w:p w14:paraId="55EE091B">
      <w:pPr>
        <w:spacing w:line="540" w:lineRule="exact"/>
        <w:ind w:firstLine="420"/>
        <w:rPr>
          <w:rFonts w:ascii="黑体" w:hAnsi="宋体" w:eastAsia="黑体"/>
          <w:szCs w:val="32"/>
          <w:lang w:val="zh-CN"/>
        </w:rPr>
      </w:pPr>
    </w:p>
    <w:p w14:paraId="032D3CD0">
      <w:pPr>
        <w:pStyle w:val="35"/>
        <w:rPr>
          <w:shd w:val="clear" w:color="auto" w:fill="FFFFFF"/>
        </w:rPr>
      </w:pPr>
      <w:r>
        <w:rPr>
          <w:rFonts w:hint="eastAsia"/>
          <w:shd w:val="clear" w:color="auto" w:fill="FFFFFF"/>
        </w:rPr>
        <w:t>乐山高新技术产业开发区土地储备中心</w:t>
      </w:r>
    </w:p>
    <w:p w14:paraId="37EBF22A">
      <w:pPr>
        <w:pStyle w:val="35"/>
        <w:rPr>
          <w:rFonts w:ascii="仿宋_GB2312" w:hAnsi="宋体"/>
          <w:szCs w:val="32"/>
          <w:shd w:val="clear" w:color="auto" w:fill="FFFFFF"/>
        </w:rPr>
      </w:pPr>
      <w:r>
        <w:rPr>
          <w:rFonts w:hint="eastAsia"/>
          <w:shd w:val="clear" w:color="auto" w:fill="FFFFFF"/>
        </w:rPr>
        <w:t>整体支出绩效报告</w:t>
      </w:r>
    </w:p>
    <w:p w14:paraId="7F84E42F">
      <w:pPr>
        <w:widowControl/>
        <w:adjustRightInd w:val="0"/>
        <w:snapToGrid w:val="0"/>
        <w:spacing w:line="540" w:lineRule="exact"/>
        <w:ind w:firstLine="720"/>
        <w:jc w:val="left"/>
        <w:rPr>
          <w:rFonts w:ascii="黑体" w:hAnsi="宋体" w:eastAsia="黑体" w:cs="宋体"/>
          <w:color w:val="000000"/>
          <w:kern w:val="0"/>
          <w:sz w:val="24"/>
          <w:szCs w:val="32"/>
          <w:shd w:val="clear" w:color="auto" w:fill="FFFFFF"/>
        </w:rPr>
      </w:pPr>
    </w:p>
    <w:p w14:paraId="079795D4">
      <w:pPr>
        <w:pStyle w:val="36"/>
        <w:numPr>
          <w:ilvl w:val="0"/>
          <w:numId w:val="0"/>
        </w:numPr>
        <w:rPr>
          <w:shd w:val="clear" w:color="auto" w:fill="FFFFFF"/>
          <w:lang w:val="zh-CN"/>
        </w:rPr>
      </w:pPr>
      <w:r>
        <w:rPr>
          <w:rFonts w:hint="eastAsia"/>
          <w:shd w:val="clear" w:color="auto" w:fill="FFFFFF"/>
          <w:lang w:val="zh-CN"/>
        </w:rPr>
        <w:t>一、单位概况</w:t>
      </w:r>
    </w:p>
    <w:p w14:paraId="65B63B82">
      <w:pPr>
        <w:pStyle w:val="37"/>
        <w:rPr>
          <w:shd w:val="clear" w:color="auto" w:fill="FFFFFF"/>
        </w:rPr>
      </w:pPr>
      <w:r>
        <w:rPr>
          <w:rFonts w:hint="eastAsia"/>
          <w:shd w:val="clear" w:color="auto" w:fill="FFFFFF"/>
        </w:rPr>
        <w:t>机构组成。</w:t>
      </w:r>
      <w:r>
        <w:rPr>
          <w:rFonts w:hint="eastAsia" w:ascii="仿宋_GB2312" w:hAnsi="仿宋" w:eastAsia="仿宋_GB2312"/>
          <w:bCs/>
          <w:color w:val="000000"/>
          <w:kern w:val="0"/>
          <w:szCs w:val="32"/>
          <w:lang w:val="en-US"/>
        </w:rPr>
        <w:t>乐山高新技术产业开发区土地储备中心（以下简称：高新区土地储备中心）属于高新区一级预算单位，参照其他事业单位管理办法进行管理，无下属二级预算单位。</w:t>
      </w:r>
    </w:p>
    <w:p w14:paraId="0E3A4013">
      <w:pPr>
        <w:pStyle w:val="37"/>
      </w:pPr>
      <w:r>
        <w:rPr>
          <w:rFonts w:hint="eastAsia"/>
          <w:shd w:val="clear" w:color="auto" w:fill="FFFFFF"/>
        </w:rPr>
        <w:t>机构职能。</w:t>
      </w:r>
      <w:r>
        <w:rPr>
          <w:rFonts w:hint="eastAsia" w:ascii="仿宋_GB2312" w:hAnsi="仿宋" w:eastAsia="仿宋_GB2312"/>
          <w:bCs/>
          <w:color w:val="000000"/>
          <w:kern w:val="0"/>
          <w:szCs w:val="32"/>
          <w:lang w:val="en-US"/>
        </w:rPr>
        <w:t>高新区土地储备中心主要负责：做好高新区土地储备工作，并负责园区基础设施建设和维护</w:t>
      </w:r>
      <w:r>
        <w:rPr>
          <w:rFonts w:hint="eastAsia" w:hAnsi="仿宋"/>
          <w:bCs/>
          <w:color w:val="000000"/>
          <w:kern w:val="0"/>
          <w:szCs w:val="32"/>
          <w:lang w:val="en-US"/>
        </w:rPr>
        <w:t>。</w:t>
      </w:r>
      <w:r>
        <w:rPr>
          <w:rFonts w:hint="eastAsia" w:ascii="仿宋_GB2312" w:hAnsi="仿宋" w:eastAsia="仿宋_GB2312"/>
          <w:bCs/>
          <w:color w:val="000000"/>
          <w:kern w:val="0"/>
          <w:szCs w:val="32"/>
          <w:lang w:val="en-US"/>
        </w:rPr>
        <w:t>促进高新区的建设和发展，负责高新区内土地的收回、收购、置换、征用并进行前期开发、整理、储备等工作，并承担党工委、管委会交办的其他工作任务。2019年重点工作为征地、拆迁安置、园区基础设施建设等。切实做好土地储备专项债券发行工作，加强土地市场动态监测与监管，完成土地收储任务。做好高新区发行土地专项债券涉及的土地收储工作。做好金子塔、盐业公司等企业的土地收储工作，加强土地市场动态监测与监管，完成土地收储任务。</w:t>
      </w:r>
    </w:p>
    <w:p w14:paraId="01D8AFA5">
      <w:pPr>
        <w:pStyle w:val="37"/>
        <w:rPr>
          <w:shd w:val="clear" w:color="auto" w:fill="FFFFFF"/>
        </w:rPr>
      </w:pPr>
      <w:r>
        <w:rPr>
          <w:rFonts w:hint="eastAsia"/>
          <w:shd w:val="clear" w:color="auto" w:fill="FFFFFF"/>
        </w:rPr>
        <w:t>人员概况。</w:t>
      </w:r>
      <w:r>
        <w:rPr>
          <w:rFonts w:hint="eastAsia" w:ascii="Calibri" w:eastAsia="仿宋_GB2312"/>
          <w:sz w:val="30"/>
          <w:szCs w:val="30"/>
        </w:rPr>
        <w:t>2019年编制人数为</w:t>
      </w:r>
      <w:r>
        <w:rPr>
          <w:rFonts w:hint="eastAsia" w:ascii="Calibri" w:eastAsia="仿宋_GB2312"/>
          <w:sz w:val="30"/>
          <w:szCs w:val="30"/>
          <w:lang w:val="en-US"/>
        </w:rPr>
        <w:t>6</w:t>
      </w:r>
      <w:r>
        <w:rPr>
          <w:rFonts w:hint="eastAsia" w:ascii="Calibri" w:eastAsia="仿宋_GB2312"/>
          <w:sz w:val="30"/>
          <w:szCs w:val="30"/>
        </w:rPr>
        <w:t>人，其中行政编制为0人，事业编制为</w:t>
      </w:r>
      <w:r>
        <w:rPr>
          <w:rFonts w:hint="eastAsia" w:ascii="Calibri" w:eastAsia="仿宋_GB2312"/>
          <w:sz w:val="30"/>
          <w:szCs w:val="30"/>
          <w:lang w:val="en-US"/>
        </w:rPr>
        <w:t>6</w:t>
      </w:r>
      <w:r>
        <w:rPr>
          <w:rFonts w:hint="eastAsia" w:ascii="Calibri" w:eastAsia="仿宋_GB2312"/>
          <w:sz w:val="30"/>
          <w:szCs w:val="30"/>
        </w:rPr>
        <w:t>人。年末实有人数共有</w:t>
      </w:r>
      <w:r>
        <w:rPr>
          <w:rFonts w:hint="eastAsia" w:ascii="Calibri" w:eastAsia="仿宋_GB2312"/>
          <w:sz w:val="30"/>
          <w:szCs w:val="30"/>
          <w:lang w:val="en-US"/>
        </w:rPr>
        <w:t>6</w:t>
      </w:r>
      <w:r>
        <w:rPr>
          <w:rFonts w:hint="eastAsia" w:ascii="Calibri" w:eastAsia="仿宋_GB2312"/>
          <w:sz w:val="30"/>
          <w:szCs w:val="30"/>
        </w:rPr>
        <w:t>人，实有行政人员为0人，实有事业人员为</w:t>
      </w:r>
      <w:r>
        <w:rPr>
          <w:rFonts w:hint="eastAsia" w:ascii="Calibri" w:eastAsia="仿宋_GB2312"/>
          <w:sz w:val="30"/>
          <w:szCs w:val="30"/>
          <w:lang w:val="en-US"/>
        </w:rPr>
        <w:t>6</w:t>
      </w:r>
      <w:r>
        <w:rPr>
          <w:rFonts w:hint="eastAsia" w:ascii="Calibri" w:eastAsia="仿宋_GB2312"/>
          <w:sz w:val="30"/>
          <w:szCs w:val="30"/>
        </w:rPr>
        <w:t>人，实有聘用人员</w:t>
      </w:r>
      <w:r>
        <w:rPr>
          <w:rFonts w:hint="eastAsia" w:ascii="Calibri" w:eastAsia="仿宋_GB2312"/>
          <w:sz w:val="30"/>
          <w:szCs w:val="30"/>
          <w:lang w:val="en-US"/>
        </w:rPr>
        <w:t>0</w:t>
      </w:r>
      <w:r>
        <w:rPr>
          <w:rFonts w:hint="eastAsia" w:ascii="Calibri" w:eastAsia="仿宋_GB2312"/>
          <w:sz w:val="30"/>
          <w:szCs w:val="30"/>
        </w:rPr>
        <w:t>人，实有企业混岗人员</w:t>
      </w:r>
      <w:r>
        <w:rPr>
          <w:rFonts w:hint="eastAsia" w:ascii="Calibri" w:eastAsia="仿宋_GB2312"/>
          <w:sz w:val="30"/>
          <w:szCs w:val="30"/>
          <w:lang w:val="en-US"/>
        </w:rPr>
        <w:t>0</w:t>
      </w:r>
      <w:r>
        <w:rPr>
          <w:rFonts w:hint="eastAsia" w:ascii="Calibri" w:eastAsia="仿宋_GB2312"/>
          <w:sz w:val="30"/>
          <w:szCs w:val="30"/>
        </w:rPr>
        <w:t>人。</w:t>
      </w:r>
    </w:p>
    <w:p w14:paraId="0D213303">
      <w:pPr>
        <w:pStyle w:val="36"/>
        <w:numPr>
          <w:ilvl w:val="0"/>
          <w:numId w:val="0"/>
        </w:numPr>
        <w:rPr>
          <w:shd w:val="clear" w:color="auto" w:fill="FFFFFF"/>
          <w:lang w:val="zh-CN"/>
        </w:rPr>
      </w:pPr>
      <w:r>
        <w:rPr>
          <w:rFonts w:hint="eastAsia"/>
          <w:shd w:val="clear" w:color="auto" w:fill="FFFFFF"/>
          <w:lang w:val="zh-CN"/>
        </w:rPr>
        <w:t>二、部门财政资金收支情况</w:t>
      </w:r>
    </w:p>
    <w:p w14:paraId="6B0A1111">
      <w:pPr>
        <w:pStyle w:val="37"/>
        <w:numPr>
          <w:ilvl w:val="0"/>
          <w:numId w:val="5"/>
        </w:numPr>
        <w:rPr>
          <w:shd w:val="clear" w:color="auto" w:fill="FFFFFF"/>
        </w:rPr>
      </w:pPr>
      <w:r>
        <w:rPr>
          <w:rFonts w:hint="eastAsia"/>
          <w:shd w:val="clear" w:color="auto" w:fill="FFFFFF"/>
        </w:rPr>
        <w:t>部门财政资金收入情况。</w:t>
      </w:r>
      <w:r>
        <w:rPr>
          <w:rFonts w:hint="eastAsia" w:ascii="仿宋_GB2312" w:eastAsia="仿宋_GB2312"/>
          <w:sz w:val="30"/>
          <w:szCs w:val="30"/>
        </w:rPr>
        <w:t>本单位2019年财政总收入</w:t>
      </w:r>
      <w:r>
        <w:rPr>
          <w:rFonts w:hint="eastAsia" w:ascii="仿宋_GB2312" w:eastAsia="仿宋_GB2312"/>
          <w:sz w:val="30"/>
          <w:szCs w:val="30"/>
          <w:lang w:val="en-US"/>
        </w:rPr>
        <w:t>35727.66万</w:t>
      </w:r>
      <w:r>
        <w:rPr>
          <w:rFonts w:hint="eastAsia" w:ascii="仿宋_GB2312" w:eastAsia="仿宋_GB2312"/>
          <w:sz w:val="30"/>
          <w:szCs w:val="30"/>
        </w:rPr>
        <w:t>元，其中财政拨款收入</w:t>
      </w:r>
      <w:r>
        <w:rPr>
          <w:rFonts w:hint="eastAsia" w:ascii="仿宋_GB2312" w:eastAsia="仿宋_GB2312"/>
          <w:sz w:val="30"/>
          <w:szCs w:val="30"/>
          <w:lang w:val="en-US"/>
        </w:rPr>
        <w:t>35727.66万</w:t>
      </w:r>
      <w:r>
        <w:rPr>
          <w:rFonts w:hint="eastAsia" w:ascii="仿宋_GB2312" w:eastAsia="仿宋_GB2312"/>
          <w:sz w:val="30"/>
          <w:szCs w:val="30"/>
        </w:rPr>
        <w:t>元；</w:t>
      </w:r>
      <w:r>
        <w:rPr>
          <w:rFonts w:hint="eastAsia" w:ascii="仿宋_GB2312" w:eastAsia="仿宋_GB2312"/>
          <w:sz w:val="30"/>
          <w:szCs w:val="30"/>
          <w:lang w:val="en-US"/>
        </w:rPr>
        <w:t>其他收入0万元</w:t>
      </w:r>
      <w:r>
        <w:rPr>
          <w:rFonts w:hint="eastAsia" w:ascii="仿宋_GB2312" w:eastAsia="仿宋_GB2312"/>
          <w:sz w:val="30"/>
          <w:szCs w:val="30"/>
        </w:rPr>
        <w:t>。</w:t>
      </w:r>
    </w:p>
    <w:p w14:paraId="2D5F0FC7">
      <w:pPr>
        <w:pStyle w:val="37"/>
        <w:rPr>
          <w:shd w:val="clear" w:color="auto" w:fill="FFFFFF"/>
        </w:rPr>
      </w:pPr>
      <w:r>
        <w:rPr>
          <w:rFonts w:hint="eastAsia"/>
          <w:shd w:val="clear" w:color="auto" w:fill="FFFFFF"/>
        </w:rPr>
        <w:t>部门财政资金支出情况。</w:t>
      </w:r>
      <w:r>
        <w:rPr>
          <w:rFonts w:hint="eastAsia" w:ascii="仿宋_GB2312" w:eastAsia="仿宋_GB2312"/>
          <w:sz w:val="30"/>
          <w:szCs w:val="30"/>
        </w:rPr>
        <w:t>本单位2019年</w:t>
      </w:r>
      <w:r>
        <w:rPr>
          <w:rFonts w:hint="eastAsia" w:ascii="仿宋_GB2312" w:eastAsia="仿宋_GB2312"/>
          <w:sz w:val="30"/>
          <w:szCs w:val="30"/>
          <w:lang w:val="en-US"/>
        </w:rPr>
        <w:t>财政</w:t>
      </w:r>
      <w:r>
        <w:rPr>
          <w:rFonts w:hint="eastAsia" w:ascii="仿宋_GB2312" w:eastAsia="仿宋_GB2312"/>
          <w:sz w:val="30"/>
          <w:szCs w:val="30"/>
        </w:rPr>
        <w:t>总支</w:t>
      </w:r>
      <w:r>
        <w:rPr>
          <w:rFonts w:hint="eastAsia" w:ascii="仿宋_GB2312" w:eastAsia="仿宋_GB2312"/>
          <w:sz w:val="30"/>
          <w:szCs w:val="30"/>
          <w:lang w:val="en-US"/>
        </w:rPr>
        <w:t>出30768.88万</w:t>
      </w:r>
      <w:r>
        <w:rPr>
          <w:rFonts w:hint="eastAsia" w:ascii="仿宋_GB2312" w:eastAsia="仿宋_GB2312"/>
          <w:sz w:val="30"/>
          <w:szCs w:val="30"/>
        </w:rPr>
        <w:t>元，其中</w:t>
      </w:r>
      <w:r>
        <w:rPr>
          <w:rFonts w:hint="eastAsia" w:ascii="仿宋_GB2312" w:eastAsia="仿宋_GB2312"/>
          <w:sz w:val="30"/>
          <w:szCs w:val="30"/>
          <w:lang w:val="en-US"/>
        </w:rPr>
        <w:t>社会保障支出4920万元；城乡社区支出23778.48万元；自然资源海洋气象等支出54.32万元；债务付息支出2016.08万元</w:t>
      </w:r>
      <w:r>
        <w:rPr>
          <w:rFonts w:hint="eastAsia" w:ascii="仿宋_GB2312" w:eastAsia="仿宋_GB2312"/>
          <w:sz w:val="30"/>
          <w:szCs w:val="30"/>
        </w:rPr>
        <w:t>。</w:t>
      </w:r>
    </w:p>
    <w:p w14:paraId="6F3CF087">
      <w:pPr>
        <w:pStyle w:val="37"/>
        <w:numPr>
          <w:ilvl w:val="0"/>
          <w:numId w:val="0"/>
        </w:numPr>
        <w:rPr>
          <w:rFonts w:ascii="黑体" w:eastAsia="黑体"/>
          <w:szCs w:val="32"/>
          <w:shd w:val="clear" w:color="auto" w:fill="FFFFFF"/>
        </w:rPr>
      </w:pPr>
      <w:r>
        <w:rPr>
          <w:rFonts w:hint="eastAsia" w:ascii="黑体" w:eastAsia="黑体"/>
          <w:szCs w:val="32"/>
          <w:shd w:val="clear" w:color="auto" w:fill="FFFFFF"/>
        </w:rPr>
        <w:t>三、部门财政支出管理情况</w:t>
      </w:r>
    </w:p>
    <w:p w14:paraId="78F7AC2D">
      <w:pPr>
        <w:pStyle w:val="37"/>
        <w:numPr>
          <w:ilvl w:val="0"/>
          <w:numId w:val="6"/>
        </w:numPr>
        <w:rPr>
          <w:shd w:val="clear" w:color="auto" w:fill="FFFFFF"/>
        </w:rPr>
      </w:pPr>
      <w:r>
        <w:rPr>
          <w:rFonts w:hint="eastAsia"/>
          <w:shd w:val="clear" w:color="auto" w:fill="FFFFFF"/>
        </w:rPr>
        <w:t>预决算编制情况。</w:t>
      </w:r>
    </w:p>
    <w:p w14:paraId="6303AF0D">
      <w:pPr>
        <w:pStyle w:val="37"/>
        <w:numPr>
          <w:ilvl w:val="1"/>
          <w:numId w:val="6"/>
        </w:numPr>
        <w:rPr>
          <w:rFonts w:ascii="仿宋_GB2312" w:eastAsia="仿宋_GB2312"/>
          <w:sz w:val="30"/>
          <w:szCs w:val="30"/>
        </w:rPr>
      </w:pPr>
      <w:r>
        <w:rPr>
          <w:rFonts w:hint="eastAsia" w:ascii="仿宋_GB2312" w:eastAsia="仿宋_GB2312"/>
          <w:sz w:val="30"/>
          <w:szCs w:val="30"/>
        </w:rPr>
        <w:t>本单位严格根据国家有关方针、政策，按照上级下达的事业计划、任务，本着收支平衡的原则，编制预算。</w:t>
      </w:r>
    </w:p>
    <w:p w14:paraId="2243E9B6">
      <w:pPr>
        <w:pStyle w:val="37"/>
        <w:numPr>
          <w:ilvl w:val="1"/>
          <w:numId w:val="6"/>
        </w:numPr>
        <w:rPr>
          <w:rFonts w:ascii="仿宋_GB2312" w:eastAsia="仿宋_GB2312"/>
          <w:sz w:val="30"/>
          <w:szCs w:val="30"/>
        </w:rPr>
      </w:pPr>
      <w:r>
        <w:rPr>
          <w:rFonts w:hint="eastAsia" w:ascii="仿宋_GB2312" w:eastAsia="仿宋_GB2312"/>
          <w:sz w:val="30"/>
          <w:szCs w:val="30"/>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27488551">
      <w:pPr>
        <w:pStyle w:val="37"/>
        <w:numPr>
          <w:ilvl w:val="1"/>
          <w:numId w:val="6"/>
        </w:numPr>
        <w:rPr>
          <w:rFonts w:ascii="仿宋_GB2312" w:eastAsia="仿宋_GB2312"/>
          <w:sz w:val="30"/>
          <w:szCs w:val="30"/>
        </w:rPr>
      </w:pPr>
      <w:r>
        <w:rPr>
          <w:rFonts w:hint="eastAsia" w:ascii="仿宋_GB2312" w:eastAsia="仿宋_GB2312"/>
          <w:sz w:val="30"/>
          <w:szCs w:val="30"/>
        </w:rPr>
        <w:t>本单位在预决算编制过程中全面实行项目及总体绩效评价目标填报。</w:t>
      </w:r>
    </w:p>
    <w:p w14:paraId="6456E992">
      <w:pPr>
        <w:pStyle w:val="37"/>
        <w:numPr>
          <w:ilvl w:val="0"/>
          <w:numId w:val="6"/>
        </w:numPr>
        <w:rPr>
          <w:shd w:val="clear" w:color="auto" w:fill="FFFFFF"/>
        </w:rPr>
      </w:pPr>
      <w:r>
        <w:rPr>
          <w:rFonts w:hint="eastAsia"/>
          <w:shd w:val="clear" w:color="auto" w:fill="FFFFFF"/>
        </w:rPr>
        <w:t>执行管理情况</w:t>
      </w:r>
    </w:p>
    <w:p w14:paraId="54FDD32D">
      <w:pPr>
        <w:pStyle w:val="37"/>
        <w:numPr>
          <w:ilvl w:val="1"/>
          <w:numId w:val="6"/>
        </w:numPr>
        <w:rPr>
          <w:rFonts w:ascii="仿宋_GB2312" w:hAnsi="仿宋" w:eastAsia="仿宋_GB2312"/>
          <w:sz w:val="30"/>
          <w:szCs w:val="30"/>
          <w:lang w:val="en-US"/>
        </w:rPr>
      </w:pPr>
      <w:r>
        <w:rPr>
          <w:rFonts w:hint="eastAsia" w:ascii="仿宋_GB2312" w:hAnsi="仿宋" w:eastAsia="仿宋_GB2312"/>
          <w:sz w:val="30"/>
          <w:szCs w:val="30"/>
          <w:lang w:val="en-US"/>
        </w:rPr>
        <w:t>本单位严格按照预决算管理制度执行，依法依规及时分配上级专项资金，专项资金使用完成情况100%。</w:t>
      </w:r>
    </w:p>
    <w:p w14:paraId="0EAFE70F">
      <w:pPr>
        <w:pStyle w:val="37"/>
        <w:numPr>
          <w:ilvl w:val="1"/>
          <w:numId w:val="6"/>
        </w:numPr>
        <w:rPr>
          <w:rFonts w:ascii="仿宋_GB2312" w:hAnsi="仿宋" w:eastAsia="仿宋_GB2312"/>
          <w:sz w:val="30"/>
          <w:szCs w:val="30"/>
          <w:lang w:val="en-US"/>
        </w:rPr>
      </w:pPr>
      <w:r>
        <w:rPr>
          <w:rFonts w:hint="eastAsia" w:ascii="仿宋_GB2312" w:hAnsi="仿宋" w:eastAsia="仿宋_GB2312"/>
          <w:sz w:val="30"/>
          <w:szCs w:val="30"/>
          <w:lang w:val="en-US"/>
        </w:rPr>
        <w:t>严格按照</w:t>
      </w:r>
      <w:bookmarkStart w:id="104" w:name="_GoBack"/>
      <w:bookmarkEnd w:id="104"/>
      <w:r>
        <w:rPr>
          <w:rFonts w:hint="eastAsia" w:ascii="仿宋_GB2312" w:hAnsi="仿宋" w:eastAsia="仿宋_GB2312"/>
          <w:sz w:val="30"/>
          <w:szCs w:val="30"/>
          <w:lang w:val="en-US"/>
        </w:rPr>
        <w:t>中央八项规定等政策文件的规定开展日常工作。“三公”经费零支出。</w:t>
      </w:r>
    </w:p>
    <w:p w14:paraId="7BE489B7">
      <w:pPr>
        <w:pStyle w:val="37"/>
        <w:numPr>
          <w:ilvl w:val="1"/>
          <w:numId w:val="6"/>
        </w:numPr>
        <w:rPr>
          <w:rFonts w:ascii="仿宋_GB2312" w:hAnsi="仿宋" w:eastAsia="仿宋_GB2312"/>
          <w:sz w:val="30"/>
          <w:szCs w:val="30"/>
          <w:lang w:val="en-US"/>
        </w:rPr>
      </w:pPr>
      <w:r>
        <w:rPr>
          <w:rFonts w:hint="eastAsia" w:ascii="仿宋_GB2312" w:hAnsi="仿宋" w:eastAsia="仿宋_GB2312"/>
          <w:sz w:val="30"/>
          <w:szCs w:val="30"/>
          <w:lang w:val="en-US"/>
        </w:rPr>
        <w:t>部门预算执行进度偏慢。因受年度项目完整性影响，项目预算执行有下半年集中支付的现象。</w:t>
      </w:r>
    </w:p>
    <w:p w14:paraId="63552C06">
      <w:pPr>
        <w:pStyle w:val="37"/>
        <w:numPr>
          <w:ilvl w:val="0"/>
          <w:numId w:val="6"/>
        </w:numPr>
        <w:rPr>
          <w:rFonts w:ascii="仿宋_GB2312"/>
          <w:sz w:val="30"/>
          <w:szCs w:val="30"/>
        </w:rPr>
      </w:pPr>
      <w:r>
        <w:rPr>
          <w:rFonts w:hint="eastAsia" w:ascii="仿宋_GB2312"/>
          <w:sz w:val="30"/>
          <w:szCs w:val="30"/>
        </w:rPr>
        <w:t>综合管理情况</w:t>
      </w:r>
    </w:p>
    <w:p w14:paraId="7EEB907E">
      <w:pPr>
        <w:pStyle w:val="37"/>
        <w:numPr>
          <w:ilvl w:val="1"/>
          <w:numId w:val="6"/>
        </w:numPr>
        <w:rPr>
          <w:rFonts w:ascii="仿宋_GB2312" w:eastAsia="仿宋_GB2312"/>
          <w:sz w:val="30"/>
          <w:szCs w:val="30"/>
        </w:rPr>
      </w:pPr>
      <w:r>
        <w:rPr>
          <w:rFonts w:hint="eastAsia" w:ascii="仿宋_GB2312" w:eastAsia="仿宋_GB2312"/>
          <w:sz w:val="30"/>
          <w:szCs w:val="30"/>
        </w:rPr>
        <w:t>严格按照政府采购相关制度要求，事前编制采购预算，事中编制采购计划，严控采购流程和招投标工作。</w:t>
      </w:r>
    </w:p>
    <w:p w14:paraId="21052FEC">
      <w:pPr>
        <w:pStyle w:val="37"/>
        <w:numPr>
          <w:ilvl w:val="1"/>
          <w:numId w:val="6"/>
        </w:numPr>
        <w:rPr>
          <w:rFonts w:ascii="仿宋_GB2312" w:eastAsia="仿宋_GB2312"/>
          <w:sz w:val="30"/>
          <w:szCs w:val="30"/>
        </w:rPr>
      </w:pPr>
      <w:r>
        <w:rPr>
          <w:rFonts w:hint="eastAsia" w:ascii="仿宋_GB2312" w:eastAsia="仿宋_GB2312"/>
          <w:sz w:val="30"/>
          <w:szCs w:val="30"/>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472EB4F8">
      <w:pPr>
        <w:pStyle w:val="37"/>
        <w:numPr>
          <w:ilvl w:val="1"/>
          <w:numId w:val="6"/>
        </w:numPr>
        <w:rPr>
          <w:rFonts w:ascii="仿宋_GB2312" w:eastAsia="仿宋_GB2312"/>
          <w:sz w:val="30"/>
          <w:szCs w:val="30"/>
        </w:rPr>
      </w:pPr>
      <w:r>
        <w:rPr>
          <w:rFonts w:hint="eastAsia" w:ascii="仿宋_GB2312" w:eastAsia="仿宋_GB2312"/>
          <w:sz w:val="30"/>
          <w:szCs w:val="30"/>
        </w:rPr>
        <w:t>本单位内部建立专门的管理制度规范内部控制工作的开展，包括岗位人员责任岗位分离制度、收入支出管理制度、财务档案管理、票据管理、财务印章管理、专项资金管理制度办法等。</w:t>
      </w:r>
    </w:p>
    <w:p w14:paraId="1BA65635">
      <w:pPr>
        <w:pStyle w:val="37"/>
        <w:numPr>
          <w:ilvl w:val="1"/>
          <w:numId w:val="6"/>
        </w:numPr>
        <w:rPr>
          <w:rFonts w:ascii="仿宋_GB2312" w:eastAsia="仿宋_GB2312"/>
          <w:sz w:val="30"/>
          <w:szCs w:val="30"/>
        </w:rPr>
      </w:pPr>
      <w:r>
        <w:rPr>
          <w:rFonts w:hint="eastAsia" w:ascii="仿宋_GB2312" w:eastAsia="仿宋_GB2312"/>
          <w:sz w:val="30"/>
          <w:szCs w:val="30"/>
        </w:rPr>
        <w:t>本单位严格执行预决算公开制度。</w:t>
      </w:r>
    </w:p>
    <w:p w14:paraId="54AD6E66">
      <w:pPr>
        <w:pStyle w:val="37"/>
        <w:numPr>
          <w:ilvl w:val="1"/>
          <w:numId w:val="6"/>
        </w:numPr>
        <w:rPr>
          <w:rFonts w:ascii="仿宋_GB2312" w:eastAsia="仿宋_GB2312"/>
          <w:sz w:val="30"/>
          <w:szCs w:val="30"/>
        </w:rPr>
      </w:pPr>
      <w:r>
        <w:rPr>
          <w:rFonts w:hint="eastAsia" w:ascii="仿宋_GB2312" w:eastAsia="仿宋_GB2312"/>
          <w:sz w:val="30"/>
          <w:szCs w:val="30"/>
        </w:rPr>
        <w:t>本单位在预决算编制过程中全面实行项目及总体绩效评价目标填报及按要求报送绩效自评报告。</w:t>
      </w:r>
    </w:p>
    <w:p w14:paraId="650D4D2C">
      <w:pPr>
        <w:pStyle w:val="37"/>
        <w:numPr>
          <w:ilvl w:val="1"/>
          <w:numId w:val="6"/>
        </w:numPr>
        <w:rPr>
          <w:rFonts w:ascii="仿宋_GB2312" w:eastAsia="仿宋_GB2312"/>
          <w:sz w:val="30"/>
          <w:szCs w:val="30"/>
        </w:rPr>
      </w:pPr>
      <w:r>
        <w:rPr>
          <w:rFonts w:hint="eastAsia" w:ascii="仿宋_GB2312" w:eastAsia="仿宋_GB2312"/>
          <w:sz w:val="30"/>
          <w:szCs w:val="30"/>
        </w:rPr>
        <w:t>本单位全面接受财政监督检查，在2019年的各项检查中无违规违纪现象。</w:t>
      </w:r>
    </w:p>
    <w:p w14:paraId="189BA77F">
      <w:pPr>
        <w:pStyle w:val="37"/>
        <w:numPr>
          <w:ilvl w:val="0"/>
          <w:numId w:val="6"/>
        </w:numPr>
      </w:pPr>
      <w:r>
        <w:rPr>
          <w:rFonts w:hint="eastAsia" w:ascii="仿宋_GB2312"/>
          <w:sz w:val="30"/>
          <w:szCs w:val="30"/>
        </w:rPr>
        <w:t>整体绩效。</w:t>
      </w:r>
    </w:p>
    <w:p w14:paraId="1F08229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一是加强土地规划管理。</w:t>
      </w:r>
    </w:p>
    <w:p w14:paraId="7BE03CC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按照市委、市政府和高新区管委会的工作部署，结合“挂图作战”项目用地要求，完成乐山高新区总部经济区控制性详细规划编制工作，配合市上启动高新区空间规划编制工作，完成涉及数字经济产业园项目、乐山高新区基础设施及配套工程等项目约2000亩土地利用总体规划调整方案及全市规划编制，并通过省厅审查，上报省政府待批。</w:t>
      </w:r>
    </w:p>
    <w:p w14:paraId="09C8E93C">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二是做好建设项目规划审批工作。</w:t>
      </w:r>
    </w:p>
    <w:p w14:paraId="246D910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完成乐山高新区基础设施及配套工程等10余个总部经济区项目设计方案审批。组织乐山高新区城乡规划专家评审委员会议9次，审议议题96个；组织乐山高新区城乡规划委员会议7次，审议议题57件次。出具规划条件20份，办理建设项目选址意见书11份，建设用地规划许可证13份，建设工程规划许可证13份。积极衔接协调省厅，完成了高速四分局项目《建设项目选址意见书》的办理。</w:t>
      </w:r>
    </w:p>
    <w:p w14:paraId="247900B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三是及时组织土地报征。</w:t>
      </w:r>
    </w:p>
    <w:p w14:paraId="7AADD68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完成乐山市2019年10、11、12、13批城市建设用地共约1630亩报批工作，已取得省政府批复，确保重点项目落地。完成乐山市2019年第11、12、13、14、15批约2500亩城市建设用地的组卷工作，并顺利上报省厅审查。</w:t>
      </w:r>
    </w:p>
    <w:p w14:paraId="611D4BBF">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四是加快推进土地供应，提高土地利用率。</w:t>
      </w:r>
    </w:p>
    <w:p w14:paraId="53ABDF22">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认真制定2019年土地出让计划，按照节约集约用地的原则，全年完成土地供应共1163亩，其中菩提塔院项目330亩、高新区基础设施及配套工程建设项目五条道路304亩、龙口台地71亩商住用地、数字经济产业园248亩、新区医院140亩、嘉域香楠50亩。</w:t>
      </w:r>
    </w:p>
    <w:p w14:paraId="642F6E5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五是顺利完成批而未供和闲置土地处置工作任务。</w:t>
      </w:r>
    </w:p>
    <w:p w14:paraId="689561F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2019年完成17.8641公顷土地供应工作，现系统中批而未供面积为51.6459公顷，达到省厅下达的不高于52.13公顷的目标任务。按照市局下发的高新区闲置土地共10宗，面积30.927公顷，闲置土地处置已完成10.59828公顷，处置率为34.27%，圆满完成省厅下达的目标任务。</w:t>
      </w:r>
    </w:p>
    <w:p w14:paraId="142E96B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六是积极推进土地储备工作。</w:t>
      </w:r>
    </w:p>
    <w:p w14:paraId="309D569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制定、完善2019年乐山高新区企业土地腾退工作计划，完成14宗共1219亩土地收储工作并经市政府批复同意；完成土地置换1宗（乐山移动分公司35.61亩）；完成17宗土地测绘并开展收储评估工作。完成了新增报批1630亩土地入库工作和1250亩储备土地出库。2019年包装发行土地储备专项债券项目一个已入库，发行总费用3.7亿元，3月份发行1亿元资金已到位。</w:t>
      </w:r>
    </w:p>
    <w:p w14:paraId="1CD2371D">
      <w:pPr>
        <w:pStyle w:val="36"/>
        <w:numPr>
          <w:ilvl w:val="0"/>
          <w:numId w:val="7"/>
        </w:numPr>
        <w:rPr>
          <w:shd w:val="clear" w:color="auto" w:fill="FFFFFF"/>
        </w:rPr>
      </w:pPr>
      <w:r>
        <w:rPr>
          <w:rFonts w:hint="eastAsia"/>
          <w:shd w:val="clear" w:color="auto" w:fill="FFFFFF"/>
        </w:rPr>
        <w:t>评价结论及建议</w:t>
      </w:r>
    </w:p>
    <w:p w14:paraId="26E81C6B">
      <w:pPr>
        <w:pStyle w:val="37"/>
        <w:numPr>
          <w:ilvl w:val="0"/>
          <w:numId w:val="8"/>
        </w:numPr>
        <w:rPr>
          <w:shd w:val="clear" w:color="auto" w:fill="FFFFFF"/>
        </w:rPr>
      </w:pPr>
      <w:r>
        <w:rPr>
          <w:rFonts w:hint="eastAsia"/>
          <w:shd w:val="clear" w:color="auto" w:fill="FFFFFF"/>
        </w:rPr>
        <w:t>评价结论。</w:t>
      </w:r>
    </w:p>
    <w:p w14:paraId="1D8447D7">
      <w:pPr>
        <w:pStyle w:val="38"/>
        <w:ind w:firstLine="600"/>
        <w:rPr>
          <w:rFonts w:hAnsi="仿宋"/>
          <w:sz w:val="30"/>
          <w:szCs w:val="30"/>
        </w:rPr>
      </w:pPr>
      <w:r>
        <w:rPr>
          <w:rFonts w:hint="eastAsia" w:hAnsi="仿宋"/>
          <w:sz w:val="30"/>
          <w:szCs w:val="30"/>
        </w:rPr>
        <w:t>本单位履行职责职能,严格按预算法及高新区管委会的要求编制预决算、按财经法规及制度使用、管理资金,成效明显,主要体现在以下几个方面：</w:t>
      </w:r>
    </w:p>
    <w:p w14:paraId="201F158E">
      <w:pPr>
        <w:pStyle w:val="38"/>
        <w:ind w:firstLine="600"/>
        <w:rPr>
          <w:rFonts w:hAnsi="仿宋"/>
          <w:sz w:val="30"/>
          <w:szCs w:val="30"/>
        </w:rPr>
      </w:pPr>
      <w:r>
        <w:rPr>
          <w:rFonts w:hint="eastAsia" w:hAnsi="仿宋"/>
          <w:sz w:val="30"/>
          <w:szCs w:val="30"/>
        </w:rPr>
        <w:t>1.资金使用效益合理有效，保障了财政供养人员的日常开支，资金使用无虚列支出及随意使用现象,无大额现金支付现象。</w:t>
      </w:r>
    </w:p>
    <w:p w14:paraId="23F9D62A">
      <w:pPr>
        <w:pStyle w:val="38"/>
        <w:ind w:firstLine="600"/>
        <w:rPr>
          <w:rFonts w:hAnsi="仿宋"/>
          <w:sz w:val="30"/>
          <w:szCs w:val="30"/>
        </w:rPr>
      </w:pPr>
      <w:r>
        <w:rPr>
          <w:rFonts w:hint="eastAsia" w:hAnsi="仿宋"/>
          <w:sz w:val="30"/>
          <w:szCs w:val="30"/>
        </w:rPr>
        <w:t>2.资金使用社会效益好。</w:t>
      </w:r>
    </w:p>
    <w:p w14:paraId="1A7E6C36">
      <w:pPr>
        <w:pStyle w:val="38"/>
        <w:ind w:firstLine="600"/>
        <w:rPr>
          <w:rFonts w:hAnsi="仿宋"/>
          <w:sz w:val="30"/>
          <w:szCs w:val="30"/>
        </w:rPr>
      </w:pPr>
      <w:r>
        <w:rPr>
          <w:rFonts w:hint="eastAsia" w:hAnsi="仿宋"/>
          <w:sz w:val="30"/>
          <w:szCs w:val="30"/>
        </w:rPr>
        <w:t>3.根据财政整体支出绩效评价的内容要求，本单位的自查结果为“良”。</w:t>
      </w:r>
    </w:p>
    <w:p w14:paraId="27B58766">
      <w:pPr>
        <w:pStyle w:val="37"/>
        <w:rPr>
          <w:shd w:val="clear" w:color="auto" w:fill="FFFFFF"/>
        </w:rPr>
      </w:pPr>
      <w:r>
        <w:rPr>
          <w:rFonts w:hint="eastAsia"/>
          <w:shd w:val="clear" w:color="auto" w:fill="FFFFFF"/>
        </w:rPr>
        <w:t>存在问题。</w:t>
      </w:r>
    </w:p>
    <w:p w14:paraId="12C69A1E">
      <w:pPr>
        <w:spacing w:line="580" w:lineRule="exact"/>
        <w:ind w:firstLine="600" w:firstLineChars="200"/>
        <w:rPr>
          <w:rFonts w:ascii="仿宋_GB2312" w:hAnsi="仿宋" w:eastAsia="仿宋_GB2312"/>
          <w:sz w:val="30"/>
          <w:szCs w:val="30"/>
        </w:rPr>
      </w:pPr>
      <w:r>
        <w:rPr>
          <w:rFonts w:hint="eastAsia" w:ascii="仿宋_GB2312" w:hAnsi="仿宋" w:eastAsia="仿宋_GB2312"/>
          <w:sz w:val="30"/>
          <w:szCs w:val="30"/>
        </w:rPr>
        <w:t>2019年</w:t>
      </w:r>
      <w:r>
        <w:rPr>
          <w:rFonts w:hint="eastAsia" w:ascii="仿宋_GB2312" w:hAnsi="仿宋"/>
          <w:sz w:val="30"/>
          <w:szCs w:val="30"/>
        </w:rPr>
        <w:t>，</w:t>
      </w:r>
      <w:r>
        <w:rPr>
          <w:rFonts w:hint="eastAsia" w:ascii="仿宋_GB2312" w:hAnsi="仿宋" w:eastAsia="仿宋_GB2312"/>
          <w:sz w:val="30"/>
          <w:szCs w:val="30"/>
        </w:rPr>
        <w:t>我中心在资金使用计划上有待进一步加强,要进一步细化预算编制,编制范围尽可能的全面，不漏项。进一步提高预算编制的科学性、合理性、严谨性和可控性。</w:t>
      </w:r>
    </w:p>
    <w:p w14:paraId="588B33D8">
      <w:pPr>
        <w:pStyle w:val="37"/>
        <w:rPr>
          <w:shd w:val="clear" w:color="auto" w:fill="FFFFFF"/>
        </w:rPr>
      </w:pPr>
      <w:r>
        <w:rPr>
          <w:rFonts w:hint="eastAsia"/>
          <w:shd w:val="clear" w:color="auto" w:fill="FFFFFF"/>
        </w:rPr>
        <w:t>改进建议。</w:t>
      </w:r>
    </w:p>
    <w:p w14:paraId="12AB7256">
      <w:pPr>
        <w:pStyle w:val="38"/>
        <w:ind w:firstLine="600"/>
        <w:rPr>
          <w:rFonts w:hAnsi="仿宋"/>
          <w:sz w:val="30"/>
          <w:szCs w:val="30"/>
        </w:rPr>
      </w:pPr>
      <w:r>
        <w:rPr>
          <w:rFonts w:hint="eastAsia" w:hAnsi="仿宋"/>
          <w:sz w:val="30"/>
          <w:szCs w:val="30"/>
        </w:rPr>
        <w:t>在今后的工作一方面要严格优化预算编制，加强预算执行；另一方面要严格落实专项经费使用管理规定，做到专款专用;三是提高我区土地利用率，保障“一总部三基地”项目用地。四是在经费开支上严格按照八项规定执行。</w:t>
      </w:r>
    </w:p>
    <w:p w14:paraId="753BAA84">
      <w:pPr>
        <w:pStyle w:val="38"/>
        <w:ind w:firstLine="600"/>
        <w:rPr>
          <w:rFonts w:hAnsi="仿宋"/>
          <w:sz w:val="30"/>
          <w:szCs w:val="30"/>
        </w:rPr>
      </w:pPr>
    </w:p>
    <w:p w14:paraId="6DD6C6EB">
      <w:pPr>
        <w:pStyle w:val="38"/>
        <w:ind w:firstLine="600"/>
        <w:rPr>
          <w:rFonts w:hAnsi="仿宋"/>
          <w:sz w:val="30"/>
          <w:szCs w:val="30"/>
        </w:rPr>
      </w:pPr>
    </w:p>
    <w:p w14:paraId="05A101DD">
      <w:pPr>
        <w:pStyle w:val="38"/>
        <w:ind w:firstLine="600"/>
        <w:rPr>
          <w:rFonts w:hAnsi="仿宋"/>
          <w:sz w:val="30"/>
          <w:szCs w:val="30"/>
        </w:rPr>
      </w:pPr>
    </w:p>
    <w:p w14:paraId="027B770F">
      <w:pPr>
        <w:pStyle w:val="38"/>
        <w:ind w:firstLine="0" w:firstLineChars="0"/>
        <w:rPr>
          <w:rFonts w:hAnsi="仿宋"/>
          <w:sz w:val="30"/>
          <w:szCs w:val="30"/>
        </w:rPr>
      </w:pPr>
    </w:p>
    <w:p w14:paraId="20A65FD9">
      <w:pPr>
        <w:pStyle w:val="2"/>
        <w:rPr>
          <w:rFonts w:ascii="黑体" w:hAnsi="黑体" w:eastAsia="黑体" w:cs="黑体"/>
          <w:b w:val="0"/>
          <w:bCs w:val="0"/>
          <w:sz w:val="32"/>
          <w:szCs w:val="32"/>
        </w:rPr>
      </w:pPr>
      <w:r>
        <w:rPr>
          <w:rFonts w:hint="eastAsia" w:ascii="黑体" w:hAnsi="黑体" w:eastAsia="黑体" w:cs="黑体"/>
          <w:b w:val="0"/>
          <w:bCs w:val="0"/>
          <w:sz w:val="32"/>
          <w:szCs w:val="32"/>
        </w:rPr>
        <w:t>附件2</w:t>
      </w:r>
    </w:p>
    <w:p w14:paraId="195D498E"/>
    <w:p w14:paraId="24D154BE">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乐山高新技术产业开发区土地储备中心</w:t>
      </w:r>
    </w:p>
    <w:p w14:paraId="446FAD6E">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14:paraId="191475A4">
      <w:pPr>
        <w:spacing w:line="600" w:lineRule="exact"/>
        <w:jc w:val="center"/>
        <w:rPr>
          <w:rFonts w:ascii="方正小标宋简体" w:hAnsi="宋体" w:eastAsia="方正小标宋简体"/>
          <w:color w:val="000000"/>
          <w:kern w:val="0"/>
          <w:sz w:val="44"/>
          <w:szCs w:val="44"/>
          <w:lang w:val="zh-CN"/>
        </w:rPr>
      </w:pPr>
    </w:p>
    <w:p w14:paraId="124E5EDF">
      <w:pPr>
        <w:spacing w:line="600" w:lineRule="exact"/>
        <w:rPr>
          <w:rFonts w:ascii="宋体" w:hAnsi="宋体"/>
          <w:sz w:val="32"/>
          <w:szCs w:val="32"/>
          <w:lang w:val="zh-CN"/>
        </w:rPr>
      </w:pPr>
    </w:p>
    <w:p w14:paraId="3B684285">
      <w:pPr>
        <w:numPr>
          <w:ilvl w:val="0"/>
          <w:numId w:val="9"/>
        </w:num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项目概况</w:t>
      </w:r>
    </w:p>
    <w:p w14:paraId="5CE61F4E">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乐山国家高新区正全力向“总部经济、创新高地、现代新城”三位一体的总部经济聚集区阔步迈进，为了保障2019年度土地报批工作顺利开展，确保总部经济区项目用地，完成园区部分城市建设用地土地勘测定界以及园区城市建设用地土地利用总体规划审查、地类核对工作，启动乐山国家高新区2019年度土地报批相关费用项目。</w:t>
      </w:r>
    </w:p>
    <w:p w14:paraId="094885E4">
      <w:pPr>
        <w:numPr>
          <w:ilvl w:val="0"/>
          <w:numId w:val="10"/>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14:paraId="6E9C9D49">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该项目根据管委会一总部三基地的规划要求，高新区总体规划需进一步调整提请年初预算，经管委会预算批准纳入2019年预算，年初预算数62950000元。</w:t>
      </w:r>
    </w:p>
    <w:p w14:paraId="4C3A07B6">
      <w:pPr>
        <w:numPr>
          <w:ilvl w:val="0"/>
          <w:numId w:val="10"/>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项目绩效目标。</w:t>
      </w:r>
    </w:p>
    <w:p w14:paraId="0CD8137A">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认真落实党中央、国务院关于加强土地利用总体规划调整完善工作的重要指示，分解落实耕地保有量、基本农田保护面积和建设项目用地规模等指标，加强耕地和基本农田保护，优化城乡用地布局，提高土地节约集约利用水平，强化规划管理和用途管制，保障2019年土地报批工作顺利开展，完成园区部分城市建设用地土地勘测定界以及园区城市建设用地土地利用总体规划审查、地类核对工作，完成2019年度年度土地报批计划，确保总部经济区项目用地。</w:t>
      </w:r>
    </w:p>
    <w:p w14:paraId="3857D3F8">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w:t>
      </w:r>
    </w:p>
    <w:p w14:paraId="401F320C">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14:paraId="7B4749F5">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ab/>
      </w:r>
      <w:r>
        <w:rPr>
          <w:rFonts w:hint="eastAsia" w:ascii="楷体" w:hAnsi="楷体" w:eastAsia="楷体" w:cs="楷体"/>
          <w:b/>
          <w:bCs/>
          <w:sz w:val="32"/>
          <w:szCs w:val="32"/>
          <w:lang w:val="zh-CN"/>
        </w:rPr>
        <w:t>（一）资金计划、到位及使用情况。</w:t>
      </w:r>
    </w:p>
    <w:p w14:paraId="2F3AB74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1．资金计划及到位。截止评价时点实际累计支付4579880元，全部为区级财政拨款。</w:t>
      </w:r>
    </w:p>
    <w:p w14:paraId="04A57CA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使用。项目预算资金62950000元，实际安排资金4579880元，实际到位资金4579880元，实际使用资金4579880，支付时间主要为2019年下半年，2019年5月支付四川和兴勘测-2019年第10.11.12.13批城市建设用地土地勘测定界费用216000元；2019年5月支付四川省林业勘测设计研究院-2019年11.12批城市建设用地林勘费用192000元；2019年5月支付四川朝旭土地规划服务有限公司-乐山市第12.13批城市建设用地相关费用66500元；2019年6月支付乐山市市中区会计核算支付中心（住建局）耕地占补平衡指标款3200000元；2019年6月缴纳耕地占用税750000元；2019年12月支付听证费30000元；2019年12月支付四川省林业和草原局财务处乐山市2019年第十一批城市建设用地建设项目森林植被恢复费125380元，结余资金待财政批复后拨付。</w:t>
      </w:r>
    </w:p>
    <w:p w14:paraId="62B52353">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（二）项目财务管理情况。</w:t>
      </w:r>
    </w:p>
    <w:p w14:paraId="3BEF155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该项目支出由高新区财政代管记账，财务管理制度健全，严格执行财务管理制度，账务处理及时，会计核算规范。</w:t>
      </w:r>
    </w:p>
    <w:p w14:paraId="31E7F6AB">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（三）项目组织实施情况。</w:t>
      </w:r>
    </w:p>
    <w:p w14:paraId="6E921C9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该项目由高新区管委会批准，高新区土地储备中心按政府采购程序组织实施。</w:t>
      </w:r>
    </w:p>
    <w:p w14:paraId="33AAD617">
      <w:pPr>
        <w:adjustRightInd w:val="0"/>
        <w:snapToGrid w:val="0"/>
        <w:spacing w:line="600" w:lineRule="exact"/>
        <w:ind w:firstLine="720"/>
        <w:rPr>
          <w:rFonts w:ascii="黑体" w:hAnsi="黑体" w:eastAsia="黑体" w:cs="黑体"/>
          <w:sz w:val="32"/>
          <w:szCs w:val="32"/>
          <w:lang w:val="zh-CN"/>
        </w:rPr>
      </w:pPr>
      <w:r>
        <w:rPr>
          <w:rFonts w:hint="eastAsia" w:ascii="黑体" w:hAnsi="黑体" w:eastAsia="黑体" w:cs="黑体"/>
          <w:sz w:val="32"/>
          <w:szCs w:val="32"/>
          <w:lang w:val="zh-CN"/>
        </w:rPr>
        <w:t>三、 项目绩效情况</w:t>
      </w:r>
    </w:p>
    <w:p w14:paraId="3D51624C">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（一）项目完成情况。</w:t>
      </w:r>
    </w:p>
    <w:p w14:paraId="16E2B08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截止评价时点,项目已完成园区部分城市建设用地土地勘测定界。</w:t>
      </w:r>
    </w:p>
    <w:p w14:paraId="4F3A6F6D">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（二）项目效益情况。</w:t>
      </w:r>
    </w:p>
    <w:p w14:paraId="530152C0">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 乐山高新区土地储备中心土地利用项目效果主要体现在社会效益、经济效益等方面，项目效益具体情况如下：</w:t>
      </w:r>
    </w:p>
    <w:p w14:paraId="29A5D064">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w:t>
      </w:r>
    </w:p>
    <w:p w14:paraId="01C8C039">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根据项目的实施，对总部经济区项目用地进行勘察、测绘、评估、定界，为后期项目用地提供的有力的保障。</w:t>
      </w:r>
    </w:p>
    <w:p w14:paraId="786D1DE1">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（2）经济效益</w:t>
      </w:r>
    </w:p>
    <w:p w14:paraId="342B35AD">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优化城乡用地布局，提高土地节约集约利用水平，强化规划管理和用途管制，促进经济社会持续健康发展。</w:t>
      </w:r>
    </w:p>
    <w:p w14:paraId="0E73D585">
      <w:pPr>
        <w:adjustRightInd w:val="0"/>
        <w:snapToGrid w:val="0"/>
        <w:spacing w:line="600" w:lineRule="exact"/>
        <w:ind w:firstLine="720"/>
        <w:rPr>
          <w:rFonts w:ascii="黑体" w:hAnsi="黑体" w:eastAsia="黑体" w:cs="黑体"/>
          <w:sz w:val="32"/>
          <w:szCs w:val="32"/>
          <w:lang w:val="zh-CN"/>
        </w:rPr>
      </w:pPr>
      <w:r>
        <w:rPr>
          <w:rFonts w:hint="eastAsia" w:ascii="黑体" w:hAnsi="黑体" w:eastAsia="黑体" w:cs="黑体"/>
          <w:sz w:val="32"/>
          <w:szCs w:val="32"/>
          <w:lang w:val="zh-CN"/>
        </w:rPr>
        <w:t>四、问题及建议</w:t>
      </w:r>
    </w:p>
    <w:p w14:paraId="40704848">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（一）存在的问题。</w:t>
      </w:r>
    </w:p>
    <w:p w14:paraId="5C2EEB22">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预算编制不准确，年初预算数62950000元，目前实际支付4579880元，预算执行力有待提高。</w:t>
      </w:r>
    </w:p>
    <w:p w14:paraId="60074794">
      <w:pPr>
        <w:adjustRightInd w:val="0"/>
        <w:snapToGrid w:val="0"/>
        <w:spacing w:line="600" w:lineRule="exact"/>
        <w:ind w:firstLine="643" w:firstLineChars="200"/>
        <w:rPr>
          <w:rFonts w:ascii="楷体" w:hAnsi="楷体" w:eastAsia="楷体" w:cs="楷体"/>
          <w:b/>
          <w:bCs/>
          <w:sz w:val="32"/>
          <w:szCs w:val="32"/>
          <w:lang w:val="zh-CN"/>
        </w:rPr>
      </w:pPr>
      <w:r>
        <w:rPr>
          <w:rFonts w:hint="eastAsia" w:ascii="楷体" w:hAnsi="楷体" w:eastAsia="楷体" w:cs="楷体"/>
          <w:b/>
          <w:bCs/>
          <w:sz w:val="32"/>
          <w:szCs w:val="32"/>
          <w:lang w:val="zh-CN"/>
        </w:rPr>
        <w:t>（二）相关建议。</w:t>
      </w:r>
    </w:p>
    <w:p w14:paraId="04CD49DF">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乐山高新区土地储备中心作为高新区土地利用总体规划的主管部门，要严格按照国土资源部批准的乐山高新区土地利用总体规划划定的红线，认真强化土地利用规划管理和用途管控，加强耕地和基本农田保护，优化城乡用地布局，提高土地节约集约利用水平，促进经济社会持续健康发展。</w:t>
      </w:r>
    </w:p>
    <w:p w14:paraId="0F74F96B">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14:paraId="30EE5BDB">
      <w:pPr>
        <w:spacing w:line="600" w:lineRule="exact"/>
        <w:jc w:val="center"/>
        <w:rPr>
          <w:rStyle w:val="26"/>
          <w:rFonts w:ascii="黑体" w:hAnsi="黑体" w:eastAsia="黑体"/>
          <w:b w:val="0"/>
        </w:rPr>
      </w:pPr>
    </w:p>
    <w:p w14:paraId="58ADE756">
      <w:pPr>
        <w:spacing w:line="600" w:lineRule="exact"/>
        <w:jc w:val="center"/>
        <w:rPr>
          <w:rStyle w:val="26"/>
          <w:rFonts w:ascii="黑体" w:hAnsi="黑体" w:eastAsia="黑体"/>
          <w:b w:val="0"/>
        </w:rPr>
      </w:pPr>
    </w:p>
    <w:p w14:paraId="7E818535">
      <w:pPr>
        <w:spacing w:line="600" w:lineRule="exact"/>
        <w:jc w:val="center"/>
        <w:rPr>
          <w:rStyle w:val="26"/>
          <w:rFonts w:ascii="黑体" w:hAnsi="黑体" w:eastAsia="黑体"/>
          <w:b w:val="0"/>
        </w:rPr>
      </w:pPr>
    </w:p>
    <w:p w14:paraId="26B07E62">
      <w:pPr>
        <w:spacing w:line="600" w:lineRule="exact"/>
        <w:jc w:val="center"/>
        <w:rPr>
          <w:rStyle w:val="26"/>
          <w:rFonts w:ascii="黑体" w:hAnsi="黑体" w:eastAsia="黑体"/>
          <w:b w:val="0"/>
        </w:rPr>
      </w:pPr>
    </w:p>
    <w:p w14:paraId="05A6303D">
      <w:pPr>
        <w:spacing w:line="600" w:lineRule="exact"/>
        <w:jc w:val="center"/>
        <w:rPr>
          <w:rStyle w:val="26"/>
          <w:rFonts w:ascii="黑体" w:hAnsi="黑体" w:eastAsia="黑体"/>
          <w:b w:val="0"/>
        </w:rPr>
      </w:pPr>
    </w:p>
    <w:p w14:paraId="526424F6">
      <w:pPr>
        <w:spacing w:line="600" w:lineRule="exact"/>
        <w:jc w:val="center"/>
        <w:rPr>
          <w:rStyle w:val="26"/>
          <w:rFonts w:ascii="黑体" w:hAnsi="黑体" w:eastAsia="黑体"/>
          <w:b w:val="0"/>
        </w:rPr>
      </w:pPr>
    </w:p>
    <w:p w14:paraId="74625913">
      <w:pPr>
        <w:spacing w:line="600" w:lineRule="exact"/>
        <w:jc w:val="center"/>
        <w:rPr>
          <w:rStyle w:val="26"/>
          <w:rFonts w:ascii="黑体" w:hAnsi="黑体" w:eastAsia="黑体"/>
          <w:b w:val="0"/>
        </w:rPr>
      </w:pPr>
    </w:p>
    <w:p w14:paraId="4F6F35F0">
      <w:pPr>
        <w:spacing w:line="600" w:lineRule="exact"/>
        <w:jc w:val="center"/>
        <w:rPr>
          <w:rStyle w:val="26"/>
          <w:rFonts w:ascii="黑体" w:hAnsi="黑体" w:eastAsia="黑体"/>
          <w:b w:val="0"/>
        </w:rPr>
      </w:pPr>
    </w:p>
    <w:p w14:paraId="001F7DCD">
      <w:pPr>
        <w:spacing w:line="600" w:lineRule="exact"/>
        <w:jc w:val="center"/>
        <w:rPr>
          <w:rStyle w:val="26"/>
          <w:rFonts w:ascii="黑体" w:hAnsi="黑体" w:eastAsia="黑体"/>
          <w:b w:val="0"/>
        </w:rPr>
      </w:pPr>
    </w:p>
    <w:p w14:paraId="73E53D2D">
      <w:pPr>
        <w:spacing w:line="600" w:lineRule="exact"/>
        <w:jc w:val="center"/>
        <w:rPr>
          <w:rStyle w:val="26"/>
          <w:rFonts w:ascii="黑体" w:hAnsi="黑体" w:eastAsia="黑体"/>
          <w:b w:val="0"/>
        </w:rPr>
      </w:pPr>
    </w:p>
    <w:p w14:paraId="32219003">
      <w:pPr>
        <w:spacing w:line="600" w:lineRule="exact"/>
        <w:jc w:val="center"/>
        <w:rPr>
          <w:rStyle w:val="26"/>
          <w:rFonts w:ascii="黑体" w:hAnsi="黑体" w:eastAsia="黑体"/>
          <w:b w:val="0"/>
        </w:rPr>
      </w:pPr>
    </w:p>
    <w:p w14:paraId="3ECFB868">
      <w:pPr>
        <w:spacing w:line="600" w:lineRule="exact"/>
        <w:jc w:val="center"/>
        <w:rPr>
          <w:rStyle w:val="26"/>
          <w:rFonts w:ascii="黑体" w:hAnsi="黑体" w:eastAsia="黑体"/>
          <w:b w:val="0"/>
        </w:rPr>
      </w:pPr>
    </w:p>
    <w:p w14:paraId="212EC6CA">
      <w:pPr>
        <w:spacing w:line="600" w:lineRule="exact"/>
        <w:jc w:val="center"/>
        <w:rPr>
          <w:rStyle w:val="26"/>
          <w:rFonts w:ascii="黑体" w:hAnsi="黑体" w:eastAsia="黑体"/>
          <w:b w:val="0"/>
        </w:rPr>
      </w:pPr>
    </w:p>
    <w:p w14:paraId="0BF644AD">
      <w:pPr>
        <w:pStyle w:val="2"/>
        <w:jc w:val="center"/>
        <w:rPr>
          <w:rStyle w:val="26"/>
          <w:rFonts w:ascii="黑体" w:hAnsi="黑体" w:eastAsia="黑体" w:cs="黑体"/>
          <w:b w:val="0"/>
          <w:bCs w:val="0"/>
        </w:rPr>
      </w:pPr>
      <w:bookmarkStart w:id="80" w:name="_Toc26979"/>
      <w:bookmarkStart w:id="81" w:name="_Toc15396618"/>
      <w:r>
        <w:rPr>
          <w:rStyle w:val="26"/>
          <w:rFonts w:hint="eastAsia" w:ascii="黑体" w:hAnsi="黑体" w:eastAsia="黑体" w:cs="黑体"/>
          <w:b w:val="0"/>
          <w:bCs w:val="0"/>
        </w:rPr>
        <w:t>第五部分 附表</w:t>
      </w:r>
      <w:bookmarkEnd w:id="76"/>
      <w:bookmarkEnd w:id="80"/>
      <w:bookmarkEnd w:id="81"/>
    </w:p>
    <w:p w14:paraId="63262E9D">
      <w:pPr>
        <w:spacing w:line="600" w:lineRule="exact"/>
        <w:jc w:val="center"/>
        <w:rPr>
          <w:rFonts w:ascii="仿宋" w:hAnsi="仿宋" w:eastAsia="仿宋"/>
          <w:b/>
          <w:color w:val="000000"/>
          <w:sz w:val="44"/>
          <w:szCs w:val="44"/>
        </w:rPr>
      </w:pPr>
    </w:p>
    <w:p w14:paraId="48C15CDA">
      <w:pPr>
        <w:pStyle w:val="3"/>
        <w:rPr>
          <w:rFonts w:ascii="仿宋" w:hAnsi="仿宋" w:eastAsia="仿宋"/>
          <w:color w:val="000000"/>
        </w:rPr>
      </w:pPr>
      <w:bookmarkStart w:id="82" w:name="_Toc30783"/>
      <w:bookmarkStart w:id="8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82"/>
      <w:bookmarkEnd w:id="83"/>
    </w:p>
    <w:p w14:paraId="39188EAE">
      <w:pPr>
        <w:pStyle w:val="3"/>
        <w:rPr>
          <w:rFonts w:ascii="仿宋" w:hAnsi="仿宋" w:eastAsia="仿宋"/>
          <w:color w:val="000000"/>
        </w:rPr>
      </w:pPr>
      <w:bookmarkStart w:id="84" w:name="_Toc15396620"/>
      <w:bookmarkStart w:id="85" w:name="_Toc31207"/>
      <w:r>
        <w:rPr>
          <w:rFonts w:hint="eastAsia" w:ascii="仿宋" w:hAnsi="仿宋" w:eastAsia="仿宋"/>
          <w:b w:val="0"/>
          <w:color w:val="000000"/>
        </w:rPr>
        <w:t>二、收</w:t>
      </w:r>
      <w:r>
        <w:rPr>
          <w:rStyle w:val="27"/>
          <w:rFonts w:hint="eastAsia" w:ascii="仿宋" w:hAnsi="仿宋" w:eastAsia="仿宋"/>
          <w:b w:val="0"/>
          <w:bCs w:val="0"/>
        </w:rPr>
        <w:t>入决算表</w:t>
      </w:r>
      <w:bookmarkEnd w:id="84"/>
      <w:bookmarkEnd w:id="85"/>
    </w:p>
    <w:p w14:paraId="7F034C50">
      <w:pPr>
        <w:pStyle w:val="3"/>
        <w:rPr>
          <w:rFonts w:ascii="仿宋" w:hAnsi="仿宋" w:eastAsia="仿宋"/>
          <w:color w:val="000000"/>
        </w:rPr>
      </w:pPr>
      <w:bookmarkStart w:id="86" w:name="_Toc4390"/>
      <w:bookmarkStart w:id="87"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86"/>
      <w:bookmarkEnd w:id="87"/>
    </w:p>
    <w:p w14:paraId="1014EC27">
      <w:pPr>
        <w:pStyle w:val="3"/>
        <w:rPr>
          <w:rFonts w:ascii="仿宋" w:hAnsi="仿宋" w:eastAsia="仿宋"/>
          <w:b w:val="0"/>
          <w:color w:val="000000"/>
        </w:rPr>
      </w:pPr>
      <w:bookmarkStart w:id="88" w:name="_Toc15396622"/>
      <w:bookmarkStart w:id="89" w:name="_Toc16879"/>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88"/>
      <w:bookmarkEnd w:id="89"/>
    </w:p>
    <w:p w14:paraId="29C83B66">
      <w:pPr>
        <w:pStyle w:val="3"/>
        <w:rPr>
          <w:rStyle w:val="27"/>
          <w:rFonts w:ascii="仿宋" w:hAnsi="仿宋" w:eastAsia="仿宋"/>
          <w:b w:val="0"/>
          <w:bCs w:val="0"/>
        </w:rPr>
      </w:pPr>
      <w:bookmarkStart w:id="90" w:name="_Toc10871"/>
      <w:bookmarkStart w:id="91"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90"/>
      <w:bookmarkEnd w:id="91"/>
      <w:bookmarkStart w:id="92" w:name="_Toc15396624"/>
    </w:p>
    <w:p w14:paraId="785879FC">
      <w:pPr>
        <w:pStyle w:val="3"/>
        <w:rPr>
          <w:rFonts w:ascii="仿宋" w:hAnsi="仿宋" w:eastAsia="仿宋"/>
          <w:color w:val="000000"/>
        </w:rPr>
      </w:pPr>
      <w:bookmarkStart w:id="93" w:name="_Toc9451"/>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92"/>
      <w:bookmarkEnd w:id="93"/>
    </w:p>
    <w:p w14:paraId="75FBF272">
      <w:pPr>
        <w:pStyle w:val="3"/>
        <w:rPr>
          <w:rFonts w:ascii="仿宋" w:hAnsi="仿宋" w:eastAsia="仿宋"/>
          <w:color w:val="000000"/>
        </w:rPr>
      </w:pPr>
      <w:bookmarkStart w:id="94" w:name="_Toc15396625"/>
      <w:bookmarkStart w:id="95" w:name="_Toc27482"/>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94"/>
      <w:bookmarkEnd w:id="95"/>
    </w:p>
    <w:p w14:paraId="0AF4C00A">
      <w:pPr>
        <w:pStyle w:val="3"/>
        <w:rPr>
          <w:rFonts w:ascii="仿宋" w:hAnsi="仿宋" w:eastAsia="仿宋"/>
          <w:color w:val="000000"/>
        </w:rPr>
      </w:pPr>
      <w:bookmarkStart w:id="96" w:name="_Toc16599"/>
      <w:bookmarkStart w:id="9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96"/>
      <w:bookmarkEnd w:id="97"/>
    </w:p>
    <w:p w14:paraId="50D06C1A">
      <w:pPr>
        <w:pStyle w:val="3"/>
        <w:rPr>
          <w:rFonts w:ascii="仿宋" w:hAnsi="仿宋" w:eastAsia="仿宋"/>
          <w:color w:val="000000"/>
        </w:rPr>
      </w:pPr>
      <w:bookmarkStart w:id="98" w:name="_Toc15396627"/>
      <w:bookmarkStart w:id="99" w:name="_Toc10100"/>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98"/>
      <w:bookmarkEnd w:id="99"/>
    </w:p>
    <w:p w14:paraId="5CF92742">
      <w:pPr>
        <w:pStyle w:val="3"/>
        <w:rPr>
          <w:rFonts w:ascii="仿宋" w:hAnsi="仿宋" w:eastAsia="仿宋"/>
          <w:color w:val="000000"/>
        </w:rPr>
      </w:pPr>
      <w:bookmarkStart w:id="100" w:name="_Toc15396628"/>
      <w:bookmarkStart w:id="101" w:name="_Toc23057"/>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00"/>
      <w:bookmarkEnd w:id="101"/>
    </w:p>
    <w:p w14:paraId="357C8CB0">
      <w:pPr>
        <w:pStyle w:val="3"/>
        <w:rPr>
          <w:rStyle w:val="27"/>
          <w:rFonts w:ascii="仿宋" w:hAnsi="仿宋" w:eastAsia="仿宋"/>
          <w:b w:val="0"/>
          <w:bCs w:val="0"/>
        </w:rPr>
      </w:pPr>
      <w:bookmarkStart w:id="102" w:name="_Toc31687"/>
      <w:bookmarkStart w:id="10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02"/>
      <w:bookmarkEnd w:id="103"/>
    </w:p>
    <w:p w14:paraId="23DAC0CA">
      <w:pPr>
        <w:spacing w:line="600" w:lineRule="auto"/>
        <w:rPr>
          <w:rStyle w:val="27"/>
          <w:rFonts w:ascii="仿宋" w:hAnsi="仿宋" w:eastAsia="仿宋"/>
          <w:b w:val="0"/>
          <w:bCs w:val="0"/>
        </w:rPr>
      </w:pPr>
      <w:r>
        <w:rPr>
          <w:rStyle w:val="27"/>
          <w:rFonts w:hint="eastAsia" w:ascii="仿宋" w:hAnsi="仿宋" w:eastAsia="仿宋"/>
          <w:b w:val="0"/>
          <w:bCs w:val="0"/>
        </w:rPr>
        <w:t>十二、政府性基金预算财政拨款“三公”经费支出决算表</w:t>
      </w:r>
    </w:p>
    <w:p w14:paraId="28CC0212">
      <w:pPr>
        <w:spacing w:line="600" w:lineRule="auto"/>
        <w:rPr>
          <w:rStyle w:val="27"/>
          <w:rFonts w:ascii="仿宋" w:hAnsi="仿宋" w:eastAsia="仿宋"/>
          <w:b w:val="0"/>
          <w:bCs w:val="0"/>
        </w:rPr>
      </w:pPr>
      <w:r>
        <w:rPr>
          <w:rStyle w:val="27"/>
          <w:rFonts w:hint="eastAsia" w:ascii="仿宋" w:hAnsi="仿宋" w:eastAsia="仿宋"/>
          <w:b w:val="0"/>
          <w:bCs w:val="0"/>
        </w:rPr>
        <w:t>十三、国有资本经营预算支出决算表</w:t>
      </w:r>
    </w:p>
    <w:p w14:paraId="13E7386E">
      <w:pPr>
        <w:spacing w:line="600" w:lineRule="exact"/>
        <w:ind w:firstLine="480" w:firstLineChars="150"/>
        <w:rPr>
          <w:rFonts w:ascii="仿宋" w:hAnsi="仿宋" w:eastAsia="仿宋"/>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0E428EB">
        <w:pPr>
          <w:pStyle w:val="8"/>
          <w:jc w:val="center"/>
        </w:pPr>
        <w:r>
          <w:fldChar w:fldCharType="begin"/>
        </w:r>
        <w:r>
          <w:instrText xml:space="preserve">PAGE   \* MERGEFORMAT</w:instrText>
        </w:r>
        <w:r>
          <w:fldChar w:fldCharType="separate"/>
        </w:r>
        <w:r>
          <w:rPr>
            <w:lang w:val="zh-CN"/>
          </w:rPr>
          <w:t>14</w:t>
        </w:r>
        <w:r>
          <w:fldChar w:fldCharType="end"/>
        </w:r>
      </w:p>
    </w:sdtContent>
  </w:sdt>
  <w:p w14:paraId="64D7364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110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24B50"/>
    <w:multiLevelType w:val="singleLevel"/>
    <w:tmpl w:val="85624B50"/>
    <w:lvl w:ilvl="0" w:tentative="0">
      <w:start w:val="1"/>
      <w:numFmt w:val="chineseCounting"/>
      <w:suff w:val="nothing"/>
      <w:lvlText w:val="%1、"/>
      <w:lvlJc w:val="left"/>
      <w:rPr>
        <w:rFonts w:hint="eastAsia"/>
      </w:rPr>
    </w:lvl>
  </w:abstractNum>
  <w:abstractNum w:abstractNumId="1">
    <w:nsid w:val="C7449DBC"/>
    <w:multiLevelType w:val="singleLevel"/>
    <w:tmpl w:val="C7449DBC"/>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34F85EAF"/>
    <w:multiLevelType w:val="multilevel"/>
    <w:tmpl w:val="34F85EAF"/>
    <w:lvl w:ilvl="0" w:tentative="0">
      <w:start w:val="1"/>
      <w:numFmt w:val="chineseCountingThousand"/>
      <w:pStyle w:val="36"/>
      <w:suff w:val="nothing"/>
      <w:lvlText w:val="%1、"/>
      <w:lvlJc w:val="left"/>
      <w:pPr>
        <w:ind w:left="-637" w:firstLine="6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BB62B1"/>
    <w:multiLevelType w:val="singleLevel"/>
    <w:tmpl w:val="58BB62B1"/>
    <w:lvl w:ilvl="0" w:tentative="0">
      <w:start w:val="1"/>
      <w:numFmt w:val="chineseCounting"/>
      <w:suff w:val="nothing"/>
      <w:lvlText w:val="（%1）"/>
      <w:lvlJc w:val="left"/>
      <w:rPr>
        <w:rFonts w:hint="eastAsia"/>
      </w:rPr>
    </w:lvl>
  </w:abstractNum>
  <w:abstractNum w:abstractNumId="6">
    <w:nsid w:val="7EE55BF3"/>
    <w:multiLevelType w:val="multilevel"/>
    <w:tmpl w:val="7EE55BF3"/>
    <w:lvl w:ilvl="0" w:tentative="0">
      <w:start w:val="1"/>
      <w:numFmt w:val="chineseCountingThousand"/>
      <w:pStyle w:val="37"/>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6"/>
  </w:num>
  <w:num w:numId="3">
    <w:abstractNumId w:val="1"/>
  </w:num>
  <w:num w:numId="4">
    <w:abstractNumId w:val="2"/>
  </w:num>
  <w:num w:numId="5">
    <w:abstractNumId w:val="6"/>
    <w:lvlOverride w:ilvl="0">
      <w:startOverride w:val="1"/>
    </w:lvlOverride>
  </w:num>
  <w:num w:numId="6">
    <w:abstractNumId w:val="6"/>
    <w:lvlOverride w:ilvl="0">
      <w:startOverride w:val="1"/>
    </w:lvlOverride>
  </w:num>
  <w:num w:numId="7">
    <w:abstractNumId w:val="4"/>
  </w:num>
  <w:num w:numId="8">
    <w:abstractNumId w:val="6"/>
    <w:lvlOverride w:ilvl="0">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7FD1"/>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D9F"/>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C7F74"/>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0C06"/>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5840"/>
    <w:rsid w:val="00871F71"/>
    <w:rsid w:val="00872FD8"/>
    <w:rsid w:val="00885AF4"/>
    <w:rsid w:val="00893454"/>
    <w:rsid w:val="008939CD"/>
    <w:rsid w:val="008B768C"/>
    <w:rsid w:val="008C4DB1"/>
    <w:rsid w:val="008C4EAF"/>
    <w:rsid w:val="008C5176"/>
    <w:rsid w:val="008C7FD0"/>
    <w:rsid w:val="008E1DE7"/>
    <w:rsid w:val="008E707C"/>
    <w:rsid w:val="00900B08"/>
    <w:rsid w:val="00902155"/>
    <w:rsid w:val="00902FA3"/>
    <w:rsid w:val="00910AFB"/>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3A53"/>
    <w:rsid w:val="00A741C2"/>
    <w:rsid w:val="00A91760"/>
    <w:rsid w:val="00A93B00"/>
    <w:rsid w:val="00A93C21"/>
    <w:rsid w:val="00AB64C9"/>
    <w:rsid w:val="00AC3C6A"/>
    <w:rsid w:val="00AC49FD"/>
    <w:rsid w:val="00AC7A47"/>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363"/>
    <w:rsid w:val="00F36D8F"/>
    <w:rsid w:val="00F417B1"/>
    <w:rsid w:val="00F45853"/>
    <w:rsid w:val="00F602DF"/>
    <w:rsid w:val="00F754A1"/>
    <w:rsid w:val="00F81FD9"/>
    <w:rsid w:val="00F841AA"/>
    <w:rsid w:val="00F84A94"/>
    <w:rsid w:val="00F87E96"/>
    <w:rsid w:val="00FA23E8"/>
    <w:rsid w:val="00FD3CC1"/>
    <w:rsid w:val="00FF1E02"/>
    <w:rsid w:val="00FF30B4"/>
    <w:rsid w:val="027620A5"/>
    <w:rsid w:val="0F503A50"/>
    <w:rsid w:val="10AC0ABE"/>
    <w:rsid w:val="10C055FF"/>
    <w:rsid w:val="14FC0F4F"/>
    <w:rsid w:val="150A416E"/>
    <w:rsid w:val="16BB723D"/>
    <w:rsid w:val="1BFB5569"/>
    <w:rsid w:val="220E6E1D"/>
    <w:rsid w:val="240371BF"/>
    <w:rsid w:val="24453526"/>
    <w:rsid w:val="28706297"/>
    <w:rsid w:val="29FD04D3"/>
    <w:rsid w:val="319F7F4E"/>
    <w:rsid w:val="355A472F"/>
    <w:rsid w:val="37D9172F"/>
    <w:rsid w:val="3DF826C2"/>
    <w:rsid w:val="4ECE2238"/>
    <w:rsid w:val="56B3695D"/>
    <w:rsid w:val="5CA70EA9"/>
    <w:rsid w:val="64323A06"/>
    <w:rsid w:val="6BE83D76"/>
    <w:rsid w:val="72734D90"/>
    <w:rsid w:val="762A571A"/>
    <w:rsid w:val="79AD4D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jc w:val="left"/>
    </w:pPr>
    <w:rPr>
      <w:rFonts w:ascii="宋体" w:hAnsi="宋体"/>
      <w:kern w:val="0"/>
      <w:sz w:val="24"/>
      <w:szCs w:val="20"/>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四号正文"/>
    <w:basedOn w:val="1"/>
    <w:qFormat/>
    <w:uiPriority w:val="0"/>
    <w:pPr>
      <w:spacing w:line="360" w:lineRule="auto"/>
    </w:pPr>
    <w:rPr>
      <w:rFonts w:ascii="??" w:hAnsi="??" w:cs="宋体"/>
      <w:color w:val="000000"/>
      <w:kern w:val="0"/>
      <w:sz w:val="28"/>
      <w:szCs w:val="21"/>
    </w:rPr>
  </w:style>
  <w:style w:type="paragraph" w:customStyle="1" w:styleId="33">
    <w:name w:val="WPSOffice手动目录 1"/>
    <w:qFormat/>
    <w:uiPriority w:val="0"/>
    <w:rPr>
      <w:rFonts w:ascii="Calibri" w:hAnsi="Calibri" w:eastAsia="宋体" w:cs="Times New Roman"/>
      <w:lang w:val="en-US" w:eastAsia="zh-CN" w:bidi="ar-SA"/>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6">
    <w:name w:val="〖B01〗一级标题"/>
    <w:next w:val="1"/>
    <w:qFormat/>
    <w:uiPriority w:val="0"/>
    <w:pPr>
      <w:numPr>
        <w:ilvl w:val="0"/>
        <w:numId w:val="1"/>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7">
    <w:name w:val="〖B02〗二级标题"/>
    <w:next w:val="1"/>
    <w:qFormat/>
    <w:uiPriority w:val="0"/>
    <w:pPr>
      <w:widowControl w:val="0"/>
      <w:numPr>
        <w:ilvl w:val="0"/>
        <w:numId w:val="2"/>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8">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0.00_ </c:formatCode>
                <c:ptCount val="2"/>
                <c:pt idx="0">
                  <c:v>69123.961783</c:v>
                </c:pt>
                <c:pt idx="1">
                  <c:v>86659.631297</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0.00_ </c:formatCode>
                <c:ptCount val="2"/>
                <c:pt idx="0">
                  <c:v>35727.660475</c:v>
                </c:pt>
                <c:pt idx="1">
                  <c:v>30768.876475</c:v>
                </c:pt>
              </c:numCache>
            </c:numRef>
          </c:val>
        </c:ser>
        <c:dLbls>
          <c:showLegendKey val="0"/>
          <c:showVal val="1"/>
          <c:showCatName val="0"/>
          <c:showSerName val="0"/>
          <c:showPercent val="0"/>
          <c:showBubbleSize val="0"/>
        </c:dLbls>
        <c:gapWidth val="219"/>
        <c:overlap val="-27"/>
        <c:axId val="80282368"/>
        <c:axId val="80283904"/>
      </c:barChart>
      <c:catAx>
        <c:axId val="80282368"/>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0283904"/>
        <c:crosses val="autoZero"/>
        <c:auto val="1"/>
        <c:lblAlgn val="ctr"/>
        <c:lblOffset val="100"/>
        <c:noMultiLvlLbl val="0"/>
      </c:catAx>
      <c:valAx>
        <c:axId val="80283904"/>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02823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7598825-3e43-43df-8a2a-ace24f8f485e}"/>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10443.163603</c:v>
                </c:pt>
                <c:pt idx="1">
                  <c:v>25284.496872</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3c1126bc-fb60-48bc-9194-caaad5214e1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系列 1</c:v>
                </c:pt>
              </c:strCache>
            </c:strRef>
          </c:tx>
          <c:spPr>
            <a:effectLst/>
          </c:spPr>
          <c:explosion val="0"/>
          <c:dPt>
            <c:idx val="0"/>
            <c:bubble3D val="0"/>
            <c:explosion val="4"/>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44.3199</c:v>
                </c:pt>
                <c:pt idx="1">
                  <c:v>30724.556575</c:v>
                </c:pt>
                <c:pt idx="2">
                  <c:v>0</c:v>
                </c:pt>
                <c:pt idx="3">
                  <c:v>0</c:v>
                </c:pt>
                <c:pt idx="4">
                  <c:v>0</c:v>
                </c:pt>
              </c:numCache>
            </c:numRef>
          </c:val>
        </c:ser>
        <c:ser>
          <c:idx val="1"/>
          <c:order val="1"/>
          <c:tx>
            <c:strRef>
              <c:f>Sheet1!#REF!</c:f>
              <c:strCache>
                <c:ptCount val="1"/>
                <c:pt idx="0">
                  <c:v/>
                </c:pt>
              </c:strCache>
            </c:strRef>
          </c:tx>
          <c:spPr>
            <a:effectLst/>
          </c:spPr>
          <c:explosion val="0"/>
          <c:dPt>
            <c:idx val="0"/>
            <c:bubble3D val="0"/>
            <c:explosion val="4"/>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effectLst/>
          </c:spPr>
          <c:explosion val="0"/>
          <c:dPt>
            <c:idx val="0"/>
            <c:bubble3D val="0"/>
            <c:explosion val="4"/>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1b8bfcb3-1f6e-463a-bde7-cc223572d8d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0.00_ </c:formatCode>
                <c:ptCount val="2"/>
                <c:pt idx="0">
                  <c:v>32143.96</c:v>
                </c:pt>
                <c:pt idx="1">
                  <c:v>49679.63</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0.00_ </c:formatCode>
                <c:ptCount val="2"/>
                <c:pt idx="0">
                  <c:v>35727.660475</c:v>
                </c:pt>
                <c:pt idx="1">
                  <c:v>30768.876475</c:v>
                </c:pt>
              </c:numCache>
            </c:numRef>
          </c:val>
        </c:ser>
        <c:dLbls>
          <c:showLegendKey val="0"/>
          <c:showVal val="1"/>
          <c:showCatName val="0"/>
          <c:showSerName val="0"/>
          <c:showPercent val="0"/>
          <c:showBubbleSize val="0"/>
        </c:dLbls>
        <c:gapWidth val="219"/>
        <c:overlap val="-27"/>
        <c:axId val="86799104"/>
        <c:axId val="86800640"/>
      </c:barChart>
      <c:catAx>
        <c:axId val="86799104"/>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6800640"/>
        <c:crosses val="autoZero"/>
        <c:auto val="1"/>
        <c:lblAlgn val="ctr"/>
        <c:lblOffset val="100"/>
        <c:noMultiLvlLbl val="0"/>
      </c:catAx>
      <c:valAx>
        <c:axId val="86800640"/>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6799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c67a6717-c04a-40d8-a636-d47cd96a4f4f}"/>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62262987513488"/>
          <c:y val="0.042042657916325"/>
          <c:w val="0.932172036380454"/>
          <c:h val="0.757054963084496"/>
        </c:manualLayout>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0.00_ </c:formatCode>
                <c:ptCount val="1"/>
                <c:pt idx="0">
                  <c:v>4189.34</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0.00_ </c:formatCode>
                <c:ptCount val="1"/>
                <c:pt idx="0">
                  <c:v>5484.379603</c:v>
                </c:pt>
              </c:numCache>
            </c:numRef>
          </c:val>
        </c:ser>
        <c:dLbls>
          <c:showLegendKey val="0"/>
          <c:showVal val="1"/>
          <c:showCatName val="0"/>
          <c:showSerName val="0"/>
          <c:showPercent val="0"/>
          <c:showBubbleSize val="0"/>
        </c:dLbls>
        <c:gapWidth val="219"/>
        <c:overlap val="-27"/>
        <c:axId val="86982656"/>
        <c:axId val="86984192"/>
      </c:barChart>
      <c:catAx>
        <c:axId val="8698265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6984192"/>
        <c:crosses val="autoZero"/>
        <c:auto val="1"/>
        <c:lblAlgn val="ctr"/>
        <c:lblOffset val="100"/>
        <c:noMultiLvlLbl val="0"/>
      </c:catAx>
      <c:valAx>
        <c:axId val="86984192"/>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6982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e6df9dfa-0a7e-410f-b58e-3268a3ee2833}"/>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2019</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社会保障和就业（类）</c:v>
                </c:pt>
                <c:pt idx="1">
                  <c:v>自然资源及海洋气象等</c:v>
                </c:pt>
                <c:pt idx="2">
                  <c:v>债务付息</c:v>
                </c:pt>
              </c:strCache>
            </c:strRef>
          </c:cat>
          <c:val>
            <c:numRef>
              <c:f>Sheet1!$B$2:$B$4</c:f>
              <c:numCache>
                <c:formatCode>General</c:formatCode>
                <c:ptCount val="3"/>
                <c:pt idx="0">
                  <c:v>4920</c:v>
                </c:pt>
                <c:pt idx="1">
                  <c:v>54.3216</c:v>
                </c:pt>
                <c:pt idx="2">
                  <c:v>510.058003</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社会保障和就业（类）</c:v>
                </c:pt>
                <c:pt idx="1">
                  <c:v>自然资源及海洋气象等</c:v>
                </c:pt>
                <c:pt idx="2">
                  <c:v>债务付息</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社会保障和就业（类）</c:v>
                </c:pt>
                <c:pt idx="1">
                  <c:v>自然资源及海洋气象等</c:v>
                </c:pt>
                <c:pt idx="2">
                  <c:v>债务付息</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e9873125-1e39-4070-a318-abdb2d1e60b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2019</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2"/>
              <c:delete val="1"/>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因公出国（境）费支出</c:v>
                </c:pt>
                <c:pt idx="2">
                  <c:v>公务接待费支出</c:v>
                </c:pt>
              </c:strCache>
            </c:strRef>
          </c:cat>
          <c:val>
            <c:numRef>
              <c:f>Sheet1!$B$2:$B$4</c:f>
              <c:numCache>
                <c:formatCode>General</c:formatCode>
                <c:ptCount val="3"/>
                <c:pt idx="0">
                  <c:v>0</c:v>
                </c:pt>
                <c:pt idx="1">
                  <c:v>0</c:v>
                </c:pt>
                <c:pt idx="2">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因公出国（境）费支出</c:v>
                </c:pt>
                <c:pt idx="2">
                  <c:v>公务接待费支出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因公出国（境）费支出</c:v>
                </c:pt>
                <c:pt idx="2">
                  <c:v>公务接待费支出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04a1234f-66d1-4c86-95b6-dfc245d7c76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EFE0-32D9-47E3-93B0-79B6743E1DF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11206</Words>
  <Characters>12205</Characters>
  <Lines>24</Lines>
  <Paragraphs>28</Paragraphs>
  <TotalTime>21</TotalTime>
  <ScaleCrop>false</ScaleCrop>
  <LinksUpToDate>false</LinksUpToDate>
  <CharactersWithSpaces>12261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2020-07-23T02:58:00Z</cp:lastPrinted>
  <dcterms:modified xsi:type="dcterms:W3CDTF">2024-12-18T07:15:12Z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056E3969615749B18125F3FEC955C026_12</vt:lpwstr>
  </property>
</Properties>
</file>