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EFD95">
      <w:pPr>
        <w:spacing w:line="600" w:lineRule="exact"/>
        <w:jc w:val="center"/>
        <w:outlineLvl w:val="0"/>
        <w:rPr>
          <w:rFonts w:ascii="方正小标宋简体" w:hAnsi="宋体" w:eastAsia="方正小标宋简体"/>
          <w:color w:val="000000"/>
          <w:sz w:val="72"/>
          <w:szCs w:val="72"/>
        </w:rPr>
      </w:pPr>
      <w:bookmarkStart w:id="0" w:name="_Toc15306267"/>
      <w:bookmarkStart w:id="1" w:name="_Toc15396602"/>
      <w:bookmarkStart w:id="2" w:name="_Toc15377204"/>
    </w:p>
    <w:p w14:paraId="357AE6BB">
      <w:pPr>
        <w:spacing w:line="600" w:lineRule="exact"/>
        <w:jc w:val="center"/>
        <w:outlineLvl w:val="0"/>
        <w:rPr>
          <w:rFonts w:ascii="方正小标宋简体" w:hAnsi="宋体" w:eastAsia="方正小标宋简体"/>
          <w:color w:val="000000"/>
          <w:sz w:val="72"/>
          <w:szCs w:val="72"/>
        </w:rPr>
      </w:pPr>
    </w:p>
    <w:p w14:paraId="74FF5ADC">
      <w:pPr>
        <w:spacing w:line="600" w:lineRule="exact"/>
        <w:jc w:val="center"/>
        <w:outlineLvl w:val="0"/>
        <w:rPr>
          <w:rFonts w:ascii="方正小标宋简体" w:hAnsi="宋体" w:eastAsia="方正小标宋简体"/>
          <w:color w:val="000000"/>
          <w:sz w:val="72"/>
          <w:szCs w:val="72"/>
        </w:rPr>
      </w:pPr>
    </w:p>
    <w:p w14:paraId="5F7ADEBA">
      <w:pPr>
        <w:spacing w:line="600" w:lineRule="exact"/>
        <w:jc w:val="center"/>
        <w:outlineLvl w:val="0"/>
        <w:rPr>
          <w:rFonts w:ascii="方正小标宋简体" w:hAnsi="宋体" w:eastAsia="方正小标宋简体"/>
          <w:color w:val="000000"/>
          <w:sz w:val="72"/>
          <w:szCs w:val="72"/>
        </w:rPr>
      </w:pPr>
    </w:p>
    <w:p w14:paraId="21AC08EE">
      <w:pPr>
        <w:adjustRightInd w:val="0"/>
        <w:snapToGrid w:val="0"/>
        <w:spacing w:line="360" w:lineRule="auto"/>
        <w:jc w:val="center"/>
        <w:outlineLvl w:val="0"/>
        <w:rPr>
          <w:rFonts w:ascii="方正小标宋简体" w:hAnsi="宋体" w:eastAsia="方正小标宋简体"/>
          <w:color w:val="000000"/>
          <w:sz w:val="72"/>
          <w:szCs w:val="72"/>
        </w:rPr>
      </w:pPr>
      <w:bookmarkStart w:id="3" w:name="_Toc15396597"/>
      <w:bookmarkStart w:id="4" w:name="_Toc15378441"/>
      <w:bookmarkStart w:id="5" w:name="_Toc15377425"/>
      <w:bookmarkStart w:id="6" w:name="_Toc15377193"/>
      <w:bookmarkStart w:id="7"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3"/>
      <w:bookmarkEnd w:id="4"/>
      <w:bookmarkEnd w:id="5"/>
      <w:bookmarkEnd w:id="6"/>
      <w:bookmarkEnd w:id="7"/>
    </w:p>
    <w:bookmarkEnd w:id="0"/>
    <w:p w14:paraId="4F50BFEE">
      <w:pPr>
        <w:adjustRightInd w:val="0"/>
        <w:snapToGrid w:val="0"/>
        <w:spacing w:line="360" w:lineRule="auto"/>
        <w:jc w:val="center"/>
        <w:outlineLvl w:val="0"/>
        <w:rPr>
          <w:rFonts w:ascii="方正小标宋简体" w:hAnsi="宋体" w:eastAsia="方正小标宋简体"/>
          <w:color w:val="000000"/>
          <w:sz w:val="72"/>
          <w:szCs w:val="72"/>
        </w:rPr>
      </w:pPr>
      <w:bookmarkStart w:id="8" w:name="_Toc15378442"/>
      <w:bookmarkStart w:id="9" w:name="_Toc15377194"/>
      <w:bookmarkStart w:id="10" w:name="_Toc15396476"/>
      <w:bookmarkStart w:id="11" w:name="_Toc15396598"/>
      <w:bookmarkStart w:id="12" w:name="_Toc15377426"/>
      <w:bookmarkStart w:id="13" w:name="_Toc15306268"/>
      <w:r>
        <w:rPr>
          <w:rFonts w:hint="eastAsia" w:ascii="方正小标宋简体" w:hAnsi="宋体" w:eastAsia="方正小标宋简体"/>
          <w:color w:val="000000"/>
          <w:sz w:val="72"/>
          <w:szCs w:val="72"/>
        </w:rPr>
        <w:t>乐山高新技术产业开发区土地储备中心</w:t>
      </w:r>
    </w:p>
    <w:p w14:paraId="06A6656D">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决算</w:t>
      </w:r>
      <w:bookmarkEnd w:id="8"/>
      <w:bookmarkEnd w:id="9"/>
      <w:bookmarkEnd w:id="10"/>
      <w:bookmarkEnd w:id="11"/>
      <w:bookmarkEnd w:id="12"/>
      <w:bookmarkEnd w:id="13"/>
      <w:r>
        <w:rPr>
          <w:rFonts w:hint="eastAsia" w:ascii="方正小标宋简体" w:hAnsi="宋体" w:eastAsia="方正小标宋简体"/>
          <w:color w:val="000000"/>
          <w:sz w:val="72"/>
          <w:szCs w:val="72"/>
        </w:rPr>
        <w:t>编制说明</w:t>
      </w:r>
    </w:p>
    <w:p w14:paraId="75B4F841">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(2019年9月24日)</w:t>
      </w:r>
    </w:p>
    <w:p w14:paraId="6AD63AB8">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C23125F">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7C625BC7">
      <w:pPr>
        <w:pStyle w:val="8"/>
      </w:pPr>
      <w:r>
        <w:rPr>
          <w:rFonts w:hint="eastAsia"/>
        </w:rPr>
        <w:t>公开时间：2019年9月24日</w:t>
      </w:r>
    </w:p>
    <w:p w14:paraId="3A5B70D9"/>
    <w:p w14:paraId="418D2178">
      <w:pPr>
        <w:pStyle w:val="8"/>
        <w:rPr>
          <w:rFonts w:cstheme="minorBidi"/>
        </w:rPr>
      </w:pPr>
      <w:r>
        <w:fldChar w:fldCharType="begin"/>
      </w:r>
      <w:r>
        <w:instrText xml:space="preserve"> HYPERLINK \l "_Toc15396599" </w:instrText>
      </w:r>
      <w:r>
        <w:fldChar w:fldCharType="separate"/>
      </w:r>
      <w:r>
        <w:rPr>
          <w:rStyle w:val="14"/>
          <w:rFonts w:hint="eastAsia"/>
        </w:rPr>
        <w:t>第一部分部门概况</w:t>
      </w:r>
      <w:r>
        <w:tab/>
      </w:r>
      <w:r>
        <w:rPr>
          <w:rFonts w:hint="eastAsia"/>
        </w:rPr>
        <w:t>4</w:t>
      </w:r>
      <w:r>
        <w:rPr>
          <w:rFonts w:hint="eastAsia"/>
        </w:rPr>
        <w:fldChar w:fldCharType="end"/>
      </w:r>
    </w:p>
    <w:p w14:paraId="4CD29F2B">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3A26DBE7">
      <w:pPr>
        <w:pStyle w:val="9"/>
        <w:rPr>
          <w:rFonts w:ascii="仿宋" w:hAnsi="仿宋" w:eastAsia="仿宋" w:cstheme="minorBidi"/>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C552B38">
      <w:pPr>
        <w:pStyle w:val="8"/>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1</w:t>
      </w:r>
      <w:r>
        <w:fldChar w:fldCharType="end"/>
      </w:r>
      <w:r>
        <w:fldChar w:fldCharType="end"/>
      </w:r>
    </w:p>
    <w:p w14:paraId="2C2FA2BE">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4"/>
          <w:rFonts w:hint="eastAsia" w:ascii="仿宋" w:hAnsi="仿宋" w:eastAsia="仿宋" w:cstheme="majorBidi"/>
          <w:bCs/>
          <w:sz w:val="28"/>
          <w:szCs w:val="28"/>
        </w:rPr>
        <w:t>一、</w:t>
      </w:r>
      <w:r>
        <w:rPr>
          <w:rStyle w:val="14"/>
          <w:rFonts w:hint="eastAsia" w:ascii="仿宋" w:hAnsi="仿宋" w:eastAsia="仿宋"/>
          <w:sz w:val="28"/>
          <w:szCs w:val="28"/>
        </w:rPr>
        <w:t>收</w:t>
      </w:r>
      <w:r>
        <w:rPr>
          <w:rStyle w:val="14"/>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489075F">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4"/>
          <w:rFonts w:hint="eastAsia" w:ascii="仿宋" w:hAnsi="仿宋" w:eastAsia="仿宋" w:cstheme="majorBidi"/>
          <w:bCs/>
          <w:sz w:val="28"/>
          <w:szCs w:val="28"/>
        </w:rPr>
        <w:t>二、</w:t>
      </w:r>
      <w:r>
        <w:rPr>
          <w:rStyle w:val="14"/>
          <w:rFonts w:hint="eastAsia" w:ascii="仿宋" w:hAnsi="仿宋" w:eastAsia="仿宋"/>
          <w:sz w:val="28"/>
          <w:szCs w:val="28"/>
        </w:rPr>
        <w:t>收</w:t>
      </w:r>
      <w:r>
        <w:rPr>
          <w:rStyle w:val="14"/>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9330A76">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4"/>
          <w:rFonts w:hint="eastAsia" w:ascii="仿宋" w:hAnsi="仿宋" w:eastAsia="仿宋" w:cstheme="majorBidi"/>
          <w:bCs/>
          <w:sz w:val="28"/>
          <w:szCs w:val="28"/>
        </w:rPr>
        <w:t>三、</w:t>
      </w:r>
      <w:r>
        <w:rPr>
          <w:rStyle w:val="14"/>
          <w:rFonts w:hint="eastAsia" w:ascii="仿宋" w:hAnsi="仿宋" w:eastAsia="仿宋"/>
          <w:sz w:val="28"/>
          <w:szCs w:val="28"/>
        </w:rPr>
        <w:t>支</w:t>
      </w:r>
      <w:r>
        <w:rPr>
          <w:rStyle w:val="14"/>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35BEC367">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79A88A34">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end"/>
      </w:r>
    </w:p>
    <w:p w14:paraId="160C1A5C">
      <w:pPr>
        <w:pStyle w:val="9"/>
        <w:rPr>
          <w:rFonts w:ascii="仿宋" w:hAnsi="仿宋" w:eastAsia="仿宋" w:cstheme="minorBidi"/>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215BE01E">
      <w:pPr>
        <w:pStyle w:val="9"/>
        <w:rPr>
          <w:rFonts w:ascii="仿宋" w:hAnsi="仿宋" w:eastAsia="仿宋" w:cstheme="minorBidi"/>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ascii="仿宋" w:hAnsi="仿宋" w:eastAsia="仿宋"/>
          <w:sz w:val="28"/>
          <w:szCs w:val="28"/>
        </w:rPr>
        <w:t>“</w:t>
      </w:r>
      <w:r>
        <w:rPr>
          <w:rStyle w:val="14"/>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6091FB99">
      <w:pPr>
        <w:pStyle w:val="9"/>
        <w:rPr>
          <w:rFonts w:ascii="仿宋" w:hAnsi="仿宋" w:eastAsia="仿宋" w:cstheme="minorBidi"/>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7E5C2E38">
      <w:pPr>
        <w:pStyle w:val="9"/>
        <w:rPr>
          <w:rFonts w:ascii="仿宋" w:hAnsi="仿宋" w:eastAsia="仿宋" w:cstheme="minorBidi"/>
          <w:sz w:val="28"/>
          <w:szCs w:val="28"/>
        </w:rPr>
      </w:pPr>
      <w:r>
        <w:fldChar w:fldCharType="begin"/>
      </w:r>
      <w:r>
        <w:instrText xml:space="preserve"> HYPERLINK \l "_Toc15396611" </w:instrText>
      </w:r>
      <w:r>
        <w:fldChar w:fldCharType="separate"/>
      </w:r>
      <w:r>
        <w:rPr>
          <w:rStyle w:val="14"/>
          <w:rFonts w:hint="eastAsia" w:ascii="仿宋" w:hAnsi="仿宋" w:eastAsia="仿宋" w:cstheme="majorBidi"/>
          <w:bCs/>
          <w:sz w:val="28"/>
          <w:szCs w:val="28"/>
        </w:rPr>
        <w:t>九、</w:t>
      </w:r>
      <w:r>
        <w:rPr>
          <w:rStyle w:val="14"/>
          <w:rFonts w:hint="eastAsia" w:ascii="仿宋" w:hAnsi="仿宋" w:eastAsia="仿宋"/>
          <w:sz w:val="28"/>
          <w:szCs w:val="28"/>
        </w:rPr>
        <w:t xml:space="preserve"> 国</w:t>
      </w:r>
      <w:r>
        <w:rPr>
          <w:rStyle w:val="14"/>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64EA722E">
      <w:pPr>
        <w:pStyle w:val="9"/>
        <w:rPr>
          <w:rFonts w:ascii="仿宋" w:hAnsi="仿宋" w:eastAsia="仿宋" w:cstheme="minorBidi"/>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15B5EFD0">
      <w:pPr>
        <w:pStyle w:val="8"/>
        <w:rPr>
          <w:rFonts w:cstheme="minorBidi"/>
        </w:rPr>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23</w:t>
      </w:r>
      <w:r>
        <w:fldChar w:fldCharType="end"/>
      </w:r>
      <w:r>
        <w:fldChar w:fldCharType="end"/>
      </w:r>
    </w:p>
    <w:p w14:paraId="503220F2">
      <w:pPr>
        <w:pStyle w:val="8"/>
        <w:rPr>
          <w:rFonts w:cstheme="minorBidi"/>
        </w:rPr>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26</w:t>
      </w:r>
      <w:r>
        <w:fldChar w:fldCharType="end"/>
      </w:r>
      <w:r>
        <w:fldChar w:fldCharType="end"/>
      </w:r>
    </w:p>
    <w:p w14:paraId="7BA29572">
      <w:pPr>
        <w:pStyle w:val="21"/>
        <w:rPr>
          <w:rStyle w:val="14"/>
          <w:rFonts w:ascii="仿宋" w:hAnsi="仿宋" w:eastAsia="仿宋"/>
          <w:kern w:val="44"/>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hint="eastAsia" w:ascii="仿宋" w:hAnsi="仿宋" w:eastAsia="仿宋"/>
          <w:kern w:val="44"/>
          <w:sz w:val="28"/>
          <w:szCs w:val="28"/>
        </w:rPr>
        <w:fldChar w:fldCharType="end"/>
      </w:r>
      <w:r>
        <w:rPr>
          <w:rFonts w:hint="eastAsia" w:ascii="仿宋" w:hAnsi="仿宋" w:eastAsia="仿宋"/>
          <w:sz w:val="28"/>
          <w:szCs w:val="28"/>
        </w:rPr>
        <w:t>....</w:t>
      </w:r>
      <w:r>
        <w:rPr>
          <w:rStyle w:val="14"/>
          <w:rFonts w:hint="eastAsia" w:ascii="仿宋" w:hAnsi="仿宋" w:eastAsia="仿宋"/>
          <w:kern w:val="44"/>
          <w:sz w:val="28"/>
          <w:szCs w:val="28"/>
        </w:rPr>
        <w:t>乐山高新技术产业开发区土地储备中心整体支出绩效报告</w:t>
      </w:r>
    </w:p>
    <w:p w14:paraId="33AF0F1A">
      <w:pPr>
        <w:pStyle w:val="9"/>
        <w:rPr>
          <w:rFonts w:ascii="仿宋" w:hAnsi="仿宋" w:eastAsia="仿宋" w:cstheme="minorBidi"/>
          <w:sz w:val="28"/>
          <w:szCs w:val="28"/>
        </w:rPr>
      </w:pPr>
    </w:p>
    <w:p w14:paraId="572F9A51">
      <w:pPr>
        <w:pStyle w:val="8"/>
        <w:rPr>
          <w:rFonts w:cstheme="minorBidi"/>
        </w:rPr>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33</w:t>
      </w:r>
      <w:r>
        <w:fldChar w:fldCharType="end"/>
      </w:r>
      <w:r>
        <w:fldChar w:fldCharType="end"/>
      </w:r>
    </w:p>
    <w:p w14:paraId="07DA7676">
      <w:pPr>
        <w:pStyle w:val="9"/>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50166E62">
      <w:pPr>
        <w:pStyle w:val="9"/>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73F16BA2">
      <w:pPr>
        <w:pStyle w:val="9"/>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1AD69AEE">
      <w:pPr>
        <w:pStyle w:val="9"/>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34FEDB12">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2F04C231">
      <w:pPr>
        <w:pStyle w:val="9"/>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6167E50C">
      <w:pPr>
        <w:pStyle w:val="9"/>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09719AFD">
      <w:pPr>
        <w:pStyle w:val="9"/>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72A729C7">
      <w:pPr>
        <w:pStyle w:val="9"/>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7B267A31">
      <w:pPr>
        <w:pStyle w:val="9"/>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495E884B">
      <w:pPr>
        <w:pStyle w:val="9"/>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01E2851E">
      <w:pPr>
        <w:pStyle w:val="9"/>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2BB9976B">
      <w:pPr>
        <w:pStyle w:val="9"/>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14:paraId="29B0F1F2">
      <w:pPr>
        <w:widowControl/>
        <w:jc w:val="left"/>
        <w:rPr>
          <w:rFonts w:ascii="仿宋" w:hAnsi="仿宋" w:eastAsia="仿宋"/>
          <w:color w:val="000000"/>
          <w:sz w:val="24"/>
        </w:rPr>
      </w:pPr>
      <w:r>
        <w:rPr>
          <w:rFonts w:ascii="仿宋" w:hAnsi="仿宋" w:eastAsia="仿宋"/>
          <w:color w:val="000000"/>
          <w:sz w:val="24"/>
        </w:rPr>
        <w:fldChar w:fldCharType="end"/>
      </w:r>
    </w:p>
    <w:p w14:paraId="3CED9701">
      <w:pPr>
        <w:widowControl/>
        <w:jc w:val="left"/>
        <w:rPr>
          <w:rFonts w:ascii="黑体" w:hAnsi="黑体" w:eastAsia="黑体"/>
          <w:bCs/>
          <w:kern w:val="44"/>
          <w:sz w:val="44"/>
          <w:szCs w:val="44"/>
        </w:rPr>
      </w:pPr>
      <w:bookmarkStart w:id="14" w:name="_Toc15396599"/>
      <w:bookmarkStart w:id="15" w:name="_Toc15377196"/>
      <w:r>
        <w:rPr>
          <w:rFonts w:ascii="黑体" w:hAnsi="黑体" w:eastAsia="黑体"/>
          <w:b/>
        </w:rPr>
        <w:br w:type="page"/>
      </w:r>
    </w:p>
    <w:p w14:paraId="6B6977BA">
      <w:pPr>
        <w:pStyle w:val="2"/>
        <w:jc w:val="center"/>
        <w:rPr>
          <w:rStyle w:val="16"/>
          <w:rFonts w:ascii="黑体" w:hAnsi="黑体" w:eastAsia="黑体"/>
          <w:b w:val="0"/>
          <w:bCs w:val="0"/>
        </w:rPr>
      </w:pPr>
      <w:r>
        <w:rPr>
          <w:rFonts w:hint="eastAsia" w:ascii="黑体" w:hAnsi="黑体" w:eastAsia="黑体"/>
          <w:b w:val="0"/>
        </w:rPr>
        <w:t xml:space="preserve">第一部分 </w:t>
      </w:r>
      <w:r>
        <w:rPr>
          <w:rStyle w:val="16"/>
          <w:rFonts w:hint="eastAsia" w:ascii="黑体" w:hAnsi="黑体" w:eastAsia="黑体"/>
          <w:b w:val="0"/>
          <w:bCs w:val="0"/>
        </w:rPr>
        <w:t>部门概况</w:t>
      </w:r>
      <w:bookmarkEnd w:id="14"/>
      <w:bookmarkEnd w:id="15"/>
    </w:p>
    <w:p w14:paraId="2BAD3E45">
      <w:pPr>
        <w:pStyle w:val="3"/>
        <w:spacing w:line="307" w:lineRule="auto"/>
        <w:ind w:firstLine="416" w:firstLineChars="130"/>
        <w:rPr>
          <w:rStyle w:val="17"/>
          <w:rFonts w:ascii="仿宋" w:hAnsi="仿宋" w:eastAsia="仿宋"/>
          <w:b w:val="0"/>
          <w:bCs w:val="0"/>
        </w:rPr>
      </w:pPr>
      <w:bookmarkStart w:id="16" w:name="_Toc15396600"/>
      <w:bookmarkStart w:id="17"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6"/>
      <w:bookmarkEnd w:id="17"/>
    </w:p>
    <w:p w14:paraId="779EE7BD">
      <w:pPr>
        <w:pStyle w:val="4"/>
        <w:adjustRightInd w:val="0"/>
        <w:snapToGrid w:val="0"/>
        <w:spacing w:before="93" w:line="307" w:lineRule="auto"/>
        <w:ind w:firstLine="416" w:firstLineChars="130"/>
        <w:outlineLvl w:val="2"/>
        <w:rPr>
          <w:rFonts w:hAnsi="仿宋"/>
          <w:bCs/>
          <w:color w:val="000000"/>
          <w:sz w:val="32"/>
          <w:szCs w:val="32"/>
        </w:rPr>
      </w:pPr>
      <w:bookmarkStart w:id="18" w:name="_Toc15377198"/>
      <w:bookmarkStart w:id="19" w:name="_Toc15378445"/>
      <w:r>
        <w:rPr>
          <w:rFonts w:hint="eastAsia" w:hAnsi="仿宋"/>
          <w:bCs/>
          <w:color w:val="000000"/>
          <w:sz w:val="32"/>
          <w:szCs w:val="32"/>
        </w:rPr>
        <w:t>（一）</w:t>
      </w:r>
      <w:bookmarkEnd w:id="18"/>
      <w:bookmarkEnd w:id="19"/>
      <w:r>
        <w:rPr>
          <w:rFonts w:hint="eastAsia" w:hAnsi="仿宋"/>
          <w:bCs/>
          <w:color w:val="000000"/>
          <w:sz w:val="32"/>
          <w:szCs w:val="32"/>
        </w:rPr>
        <w:t>乐山高新技术产业开发区土地储备中心（以下简称：高新区土地储备中心）属于高新区一级预算单位，参照其他事业单位管理办法进行管理，无下属二级预算单位。高新区土地储备中心主要负责：做好高新区土地储备工作，并负责园区基础设施建设和维护。促进高新区的建设和发展，负责高新区内土地的收回、收购、置换、征用并进行前期开发、整理、储备等工作，并承担党工委、管委会交办的其他工作任务。</w:t>
      </w:r>
      <w:bookmarkStart w:id="20" w:name="_Toc15377199"/>
      <w:bookmarkStart w:id="21" w:name="_Toc15378446"/>
    </w:p>
    <w:p w14:paraId="503B4BF0">
      <w:pPr>
        <w:spacing w:line="600" w:lineRule="atLeast"/>
        <w:ind w:firstLine="640" w:firstLineChars="200"/>
        <w:rPr>
          <w:rFonts w:ascii="仿宋_GB2312" w:hAnsi="仿宋" w:eastAsia="仿宋_GB2312"/>
          <w:bCs/>
          <w:color w:val="000000"/>
          <w:kern w:val="0"/>
          <w:sz w:val="32"/>
          <w:szCs w:val="32"/>
        </w:rPr>
      </w:pPr>
      <w:r>
        <w:rPr>
          <w:rFonts w:hint="eastAsia" w:hAnsi="仿宋"/>
          <w:bCs/>
          <w:color w:val="000000"/>
          <w:sz w:val="32"/>
          <w:szCs w:val="32"/>
        </w:rPr>
        <w:t>（二）</w:t>
      </w:r>
      <w:bookmarkEnd w:id="20"/>
      <w:bookmarkEnd w:id="21"/>
      <w:r>
        <w:rPr>
          <w:rFonts w:hint="eastAsia" w:ascii="仿宋_GB2312" w:hAnsi="仿宋" w:eastAsia="仿宋_GB2312"/>
          <w:bCs/>
          <w:color w:val="000000"/>
          <w:kern w:val="0"/>
          <w:sz w:val="32"/>
          <w:szCs w:val="32"/>
        </w:rPr>
        <w:t>2018年重点工作为征地、拆迁安置、园区基础设施建设等。切实做好土地储备专项债券发行工作，加强土地市场动态监测与监管，完成土地收储任务。做好高新区发行土地专项债券涉及的土地收储工作。做好金子塔、盐业公司等企业的土地收储工作，加强土地市场动态监测与监管，完成土地收储任务。</w:t>
      </w:r>
    </w:p>
    <w:p w14:paraId="6A39E30B">
      <w:pPr>
        <w:pStyle w:val="3"/>
        <w:spacing w:line="307" w:lineRule="auto"/>
        <w:ind w:firstLine="416" w:firstLineChars="130"/>
        <w:rPr>
          <w:rStyle w:val="17"/>
          <w:b w:val="0"/>
          <w:bCs w:val="0"/>
        </w:rPr>
      </w:pPr>
      <w:bookmarkStart w:id="22" w:name="_Toc15377200"/>
      <w:bookmarkStart w:id="23"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2"/>
      <w:bookmarkEnd w:id="23"/>
    </w:p>
    <w:p w14:paraId="62AAFB29">
      <w:pPr>
        <w:spacing w:line="307" w:lineRule="auto"/>
        <w:ind w:firstLine="416" w:firstLineChars="13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高新区土地储备中心下属二级单位0个，其中行政单位0个，参照公务员法管理的事业单位0个，其他事业单位0个。</w:t>
      </w:r>
    </w:p>
    <w:p w14:paraId="0A8DC1C4">
      <w:pPr>
        <w:spacing w:line="307" w:lineRule="auto"/>
        <w:ind w:firstLine="416" w:firstLineChars="130"/>
        <w:rPr>
          <w:rFonts w:ascii="仿宋_GB2312" w:hAnsi="仿宋" w:eastAsia="仿宋_GB2312"/>
          <w:bCs/>
          <w:color w:val="000000"/>
          <w:kern w:val="0"/>
          <w:sz w:val="32"/>
          <w:szCs w:val="32"/>
        </w:rPr>
      </w:pPr>
    </w:p>
    <w:p w14:paraId="3C3A0DED">
      <w:pPr>
        <w:pStyle w:val="2"/>
        <w:ind w:right="440"/>
        <w:jc w:val="right"/>
        <w:rPr>
          <w:rStyle w:val="16"/>
          <w:rFonts w:ascii="黑体" w:hAnsi="黑体" w:eastAsia="黑体"/>
          <w:b w:val="0"/>
          <w:bCs w:val="0"/>
        </w:rPr>
      </w:pPr>
      <w:r>
        <w:rPr>
          <w:rFonts w:hint="eastAsia" w:ascii="黑体" w:hAnsi="黑体" w:eastAsia="黑体"/>
          <w:b w:val="0"/>
          <w:color w:val="000000"/>
        </w:rPr>
        <w:t>第二部分</w:t>
      </w:r>
      <w:r>
        <w:rPr>
          <w:rStyle w:val="16"/>
          <w:rFonts w:hint="eastAsia" w:ascii="黑体" w:hAnsi="黑体" w:eastAsia="黑体"/>
          <w:b w:val="0"/>
          <w:bCs w:val="0"/>
        </w:rPr>
        <w:t>2018年度部门决算情况说明</w:t>
      </w:r>
      <w:bookmarkEnd w:id="1"/>
      <w:bookmarkEnd w:id="2"/>
    </w:p>
    <w:p w14:paraId="4137CC8B">
      <w:pPr>
        <w:pStyle w:val="18"/>
        <w:numPr>
          <w:ilvl w:val="0"/>
          <w:numId w:val="3"/>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rPr>
        <w:t>入支出决算总体情况说明</w:t>
      </w:r>
      <w:bookmarkEnd w:id="24"/>
      <w:bookmarkEnd w:id="25"/>
    </w:p>
    <w:p w14:paraId="68DE649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2018年度收入总计69123.96万元，年初和结转结余总计17535.67万元，2018年度支出总计86659.63万元。与2017年相比，收入总计增加14543.38万元，增长26.6%。支出总计增加32079.05万元，增长58.8</w:t>
      </w:r>
      <w:r>
        <w:rPr>
          <w:rFonts w:ascii="仿宋" w:hAnsi="仿宋" w:eastAsia="仿宋"/>
          <w:color w:val="000000"/>
          <w:sz w:val="32"/>
          <w:szCs w:val="32"/>
        </w:rPr>
        <w:t>%</w:t>
      </w:r>
      <w:r>
        <w:rPr>
          <w:rFonts w:hint="eastAsia" w:ascii="仿宋" w:hAnsi="仿宋" w:eastAsia="仿宋"/>
          <w:color w:val="000000"/>
          <w:sz w:val="32"/>
          <w:szCs w:val="32"/>
        </w:rPr>
        <w:t>。主要变动原因是为加快一总部三基地建设，2018年高新区征地拆迁费用增加和新增企业搬迁三基地，土地收储费用。</w:t>
      </w:r>
    </w:p>
    <w:p w14:paraId="02EA41C7">
      <w:pPr>
        <w:ind w:firstLine="480" w:firstLineChars="15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39A98211">
      <w:pPr>
        <w:ind w:firstLine="480" w:firstLineChars="150"/>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DE06BCC"/>
    <w:p w14:paraId="5B34774D">
      <w:pPr>
        <w:spacing w:line="600" w:lineRule="exact"/>
        <w:ind w:firstLine="640" w:firstLineChars="20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二、收</w:t>
      </w:r>
      <w:r>
        <w:rPr>
          <w:rStyle w:val="17"/>
          <w:rFonts w:hint="eastAsia" w:ascii="黑体" w:hAnsi="黑体" w:eastAsia="黑体"/>
        </w:rPr>
        <w:t>入决算情况说明</w:t>
      </w:r>
      <w:bookmarkEnd w:id="26"/>
      <w:bookmarkEnd w:id="27"/>
    </w:p>
    <w:p w14:paraId="0159B1EA">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8年本年收入合计69123.96万元，其中：一般公共预算财政拨款收入743.35万元，占1.1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；政府性基金预算财政拨款收入31,398.61万元，占45.4</w:t>
      </w:r>
      <w:r>
        <w:rPr>
          <w:rFonts w:ascii="仿宋" w:hAnsi="仿宋" w:eastAsia="仿宋"/>
          <w:color w:val="000000"/>
          <w:sz w:val="32"/>
          <w:szCs w:val="32"/>
        </w:rPr>
        <w:t>%</w:t>
      </w:r>
      <w:r>
        <w:rPr>
          <w:rFonts w:hint="eastAsia" w:ascii="仿宋" w:hAnsi="仿宋" w:eastAsia="仿宋"/>
          <w:color w:val="000000"/>
          <w:sz w:val="32"/>
          <w:szCs w:val="32"/>
        </w:rPr>
        <w:t>。其他收入36980万元，占53.5%。</w:t>
      </w:r>
    </w:p>
    <w:p w14:paraId="76FE8F20">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（图2：收入决算结构图）（饼状图）</w:t>
      </w:r>
    </w:p>
    <w:p w14:paraId="3A9D9CBF">
      <w:pPr>
        <w:spacing w:line="600" w:lineRule="exact"/>
        <w:ind w:firstLine="1120" w:firstLineChars="350"/>
        <w:rPr>
          <w:rFonts w:ascii="仿宋" w:hAnsi="仿宋" w:eastAsia="仿宋"/>
          <w:sz w:val="32"/>
          <w:szCs w:val="32"/>
        </w:rPr>
      </w:pPr>
    </w:p>
    <w:p w14:paraId="37C1B4CF">
      <w:r>
        <w:drawing>
          <wp:inline distT="0" distB="0" distL="0" distR="0">
            <wp:extent cx="5339715" cy="3533775"/>
            <wp:effectExtent l="4445" t="4445" r="8890" b="508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88099A4">
      <w:pPr>
        <w:spacing w:line="600" w:lineRule="exact"/>
        <w:ind w:firstLine="640" w:firstLineChars="200"/>
        <w:outlineLvl w:val="1"/>
        <w:rPr>
          <w:rStyle w:val="17"/>
          <w:rFonts w:ascii="黑体" w:hAnsi="黑体" w:eastAsia="黑体"/>
          <w:b w:val="0"/>
        </w:rPr>
      </w:pPr>
      <w:bookmarkStart w:id="28" w:name="_Toc15377207"/>
      <w:bookmarkStart w:id="29" w:name="_Toc15396605"/>
      <w:r>
        <w:rPr>
          <w:rFonts w:hint="eastAsia" w:ascii="黑体" w:hAnsi="黑体" w:eastAsia="黑体"/>
          <w:color w:val="000000"/>
          <w:sz w:val="32"/>
          <w:szCs w:val="32"/>
        </w:rPr>
        <w:t>三、支</w:t>
      </w:r>
      <w:r>
        <w:rPr>
          <w:rStyle w:val="17"/>
          <w:rFonts w:hint="eastAsia" w:ascii="黑体" w:hAnsi="黑体" w:eastAsia="黑体"/>
          <w:b w:val="0"/>
        </w:rPr>
        <w:t>出决算情况说明</w:t>
      </w:r>
      <w:bookmarkEnd w:id="28"/>
      <w:bookmarkEnd w:id="29"/>
    </w:p>
    <w:p w14:paraId="419476AE">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8年本年支出合计86659.61</w:t>
      </w:r>
      <w:r>
        <w:rPr>
          <w:rFonts w:hint="eastAsia" w:ascii="仿宋" w:hAnsi="仿宋" w:eastAsia="仿宋"/>
          <w:color w:val="000000"/>
          <w:sz w:val="32"/>
          <w:szCs w:val="32"/>
        </w:rPr>
        <w:tab/>
      </w:r>
      <w:r>
        <w:rPr>
          <w:rFonts w:hint="eastAsia" w:ascii="仿宋" w:hAnsi="仿宋" w:eastAsia="仿宋"/>
          <w:color w:val="000000"/>
          <w:sz w:val="32"/>
          <w:szCs w:val="32"/>
        </w:rPr>
        <w:t>万元，其中：基本支出30.23万元；项目支出86629.38万元。</w:t>
      </w:r>
    </w:p>
    <w:p w14:paraId="7F5D6CFF">
      <w:pPr>
        <w:spacing w:line="600" w:lineRule="exact"/>
        <w:ind w:firstLine="1120" w:firstLineChars="350"/>
        <w:rPr>
          <w:rFonts w:ascii="仿宋" w:hAnsi="仿宋" w:eastAsia="仿宋"/>
          <w:sz w:val="32"/>
          <w:szCs w:val="32"/>
        </w:rPr>
      </w:pPr>
      <w:r>
        <w:rPr>
          <w:rFonts w:hint="eastAsia" w:ascii="仿宋" w:hAnsi="仿宋" w:eastAsia="仿宋"/>
          <w:sz w:val="32"/>
          <w:szCs w:val="32"/>
        </w:rPr>
        <w:t>（图3：支出决算结构图）（饼状图）</w:t>
      </w:r>
    </w:p>
    <w:p w14:paraId="0BF3D4BA">
      <w:r>
        <w:drawing>
          <wp:inline distT="0" distB="0" distL="0" distR="0">
            <wp:extent cx="5511165" cy="2494280"/>
            <wp:effectExtent l="4445" t="4445" r="8890" b="158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1440C7B">
      <w:pPr>
        <w:spacing w:line="600" w:lineRule="exact"/>
        <w:ind w:firstLine="640" w:firstLineChars="200"/>
        <w:outlineLvl w:val="1"/>
        <w:rPr>
          <w:rStyle w:val="1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14:paraId="79C3772F">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8年财政拨款收入总计32143.96万元。与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7年相比，财政拨款收入总计减少22436.62万元，减少41</w:t>
      </w:r>
      <w:r>
        <w:rPr>
          <w:rFonts w:ascii="仿宋" w:hAnsi="仿宋" w:eastAsia="仿宋"/>
          <w:color w:val="000000"/>
          <w:sz w:val="32"/>
          <w:szCs w:val="32"/>
        </w:rPr>
        <w:t>%</w:t>
      </w:r>
      <w:r>
        <w:rPr>
          <w:rFonts w:hint="eastAsia" w:ascii="仿宋" w:hAnsi="仿宋" w:eastAsia="仿宋"/>
          <w:color w:val="000000"/>
          <w:sz w:val="32"/>
          <w:szCs w:val="32"/>
        </w:rPr>
        <w:t>。主要变动原因是2017年年末结转结余有17535.57万元；2018年财政拨款支出总计49679.63万元。与</w:t>
      </w:r>
      <w:r>
        <w:rPr>
          <w:rFonts w:ascii="仿宋" w:hAnsi="仿宋" w:eastAsia="仿宋"/>
          <w:color w:val="000000"/>
          <w:sz w:val="32"/>
          <w:szCs w:val="32"/>
        </w:rPr>
        <w:t>201</w:t>
      </w:r>
      <w:r>
        <w:rPr>
          <w:rFonts w:hint="eastAsia" w:ascii="仿宋" w:hAnsi="仿宋" w:eastAsia="仿宋"/>
          <w:color w:val="000000"/>
          <w:sz w:val="32"/>
          <w:szCs w:val="32"/>
        </w:rPr>
        <w:t>7年相比，财政拨款支出总计增加554.5万元，增长1.1</w:t>
      </w:r>
      <w:r>
        <w:rPr>
          <w:rFonts w:ascii="仿宋" w:hAnsi="仿宋" w:eastAsia="仿宋"/>
          <w:color w:val="000000"/>
          <w:sz w:val="32"/>
          <w:szCs w:val="32"/>
        </w:rPr>
        <w:t>%</w:t>
      </w:r>
      <w:r>
        <w:rPr>
          <w:rFonts w:hint="eastAsia" w:ascii="仿宋" w:hAnsi="仿宋" w:eastAsia="仿宋"/>
          <w:color w:val="000000"/>
          <w:sz w:val="32"/>
          <w:szCs w:val="32"/>
        </w:rPr>
        <w:t>。主要变动原因是一般债券利息支出增加400万元。</w:t>
      </w:r>
    </w:p>
    <w:p w14:paraId="2B4A0138">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3C7FC61D">
      <w:r>
        <w:drawing>
          <wp:inline distT="0" distB="0" distL="0" distR="0">
            <wp:extent cx="5274310" cy="2247900"/>
            <wp:effectExtent l="4445" t="4445" r="1714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8853A5">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14:paraId="44CF467C">
      <w:pPr>
        <w:spacing w:line="600" w:lineRule="exact"/>
        <w:ind w:firstLine="643" w:firstLineChars="200"/>
        <w:outlineLvl w:val="1"/>
        <w:rPr>
          <w:rStyle w:val="17"/>
          <w:rFonts w:ascii="黑体" w:hAnsi="黑体" w:eastAsia="黑体"/>
          <w:b w:val="0"/>
        </w:rPr>
      </w:pPr>
      <w:r>
        <w:rPr>
          <w:rFonts w:hint="eastAsia" w:ascii="黑体" w:hAnsi="黑体" w:eastAsia="黑体"/>
          <w:b/>
          <w:color w:val="000000"/>
          <w:sz w:val="32"/>
          <w:szCs w:val="32"/>
        </w:rPr>
        <w:t>五、一</w:t>
      </w:r>
      <w:r>
        <w:rPr>
          <w:rStyle w:val="17"/>
          <w:rFonts w:hint="eastAsia" w:ascii="黑体" w:hAnsi="黑体" w:eastAsia="黑体"/>
          <w:b w:val="0"/>
        </w:rPr>
        <w:t>般公共预算财政拨款支出决算情况说明</w:t>
      </w:r>
    </w:p>
    <w:p w14:paraId="336EC62F">
      <w:pPr>
        <w:spacing w:line="600" w:lineRule="exact"/>
        <w:ind w:firstLine="472" w:firstLineChars="147"/>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14:paraId="3092B292">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8年一般公共预算财政拨款支出4189.34万元，占本年支出合计的4.8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7年相比，一般公共预算财政拨款增加2957.65万元，增长240.1</w:t>
      </w:r>
      <w:r>
        <w:rPr>
          <w:rFonts w:ascii="仿宋" w:hAnsi="仿宋" w:eastAsia="仿宋"/>
          <w:color w:val="000000"/>
          <w:sz w:val="32"/>
          <w:szCs w:val="32"/>
        </w:rPr>
        <w:t>%</w:t>
      </w:r>
      <w:r>
        <w:rPr>
          <w:rFonts w:hint="eastAsia" w:ascii="仿宋" w:hAnsi="仿宋" w:eastAsia="仿宋"/>
          <w:color w:val="000000"/>
          <w:sz w:val="32"/>
          <w:szCs w:val="32"/>
        </w:rPr>
        <w:t>。主要变动原因是一般公共预算城乡社区公共设施支出项目增多。</w:t>
      </w:r>
    </w:p>
    <w:p w14:paraId="1DEFBF5C">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71465CBD">
      <w:r>
        <w:rPr>
          <w:rFonts w:hint="eastAsia"/>
        </w:rPr>
        <w:drawing>
          <wp:inline distT="0" distB="0" distL="0" distR="0">
            <wp:extent cx="5274310" cy="2171700"/>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C6C140">
      <w:pPr>
        <w:spacing w:line="600" w:lineRule="exact"/>
        <w:ind w:firstLine="472" w:firstLineChars="147"/>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14:paraId="0ED6CBD5">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政拨款支出4189.34万元，主要用于以下方面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城乡社区（类）</w:t>
      </w:r>
      <w:r>
        <w:rPr>
          <w:rFonts w:hint="eastAsia" w:ascii="仿宋" w:hAnsi="仿宋" w:eastAsia="仿宋"/>
          <w:color w:val="000000" w:themeColor="text1"/>
          <w:sz w:val="32"/>
          <w:szCs w:val="32"/>
        </w:rPr>
        <w:t>支出1263.83万元，占30.2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节能环保支出（类）</w:t>
      </w:r>
      <w:r>
        <w:rPr>
          <w:rFonts w:hint="eastAsia" w:ascii="仿宋" w:hAnsi="仿宋" w:eastAsia="仿宋"/>
          <w:bCs/>
          <w:color w:val="000000" w:themeColor="text1"/>
          <w:sz w:val="32"/>
          <w:szCs w:val="32"/>
        </w:rPr>
        <w:t>44.88</w:t>
      </w:r>
      <w:r>
        <w:rPr>
          <w:rFonts w:hint="eastAsia" w:ascii="仿宋" w:hAnsi="仿宋" w:eastAsia="仿宋"/>
          <w:color w:val="000000" w:themeColor="text1"/>
          <w:sz w:val="32"/>
          <w:szCs w:val="32"/>
        </w:rPr>
        <w:t>万元，占1.1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国土海洋气象（类）</w:t>
      </w:r>
      <w:r>
        <w:rPr>
          <w:rFonts w:hint="eastAsia" w:ascii="仿宋" w:hAnsi="仿宋" w:eastAsia="仿宋"/>
          <w:color w:val="000000" w:themeColor="text1"/>
          <w:sz w:val="32"/>
          <w:szCs w:val="32"/>
        </w:rPr>
        <w:t>支出211.91万元，占5%。</w:t>
      </w:r>
      <w:r>
        <w:rPr>
          <w:rFonts w:hint="eastAsia" w:ascii="仿宋" w:hAnsi="仿宋" w:eastAsia="仿宋"/>
          <w:b/>
          <w:bCs/>
          <w:color w:val="000000" w:themeColor="text1"/>
          <w:sz w:val="32"/>
          <w:szCs w:val="32"/>
        </w:rPr>
        <w:t>债务付息（类）</w:t>
      </w:r>
      <w:r>
        <w:rPr>
          <w:rFonts w:hint="eastAsia" w:ascii="仿宋" w:hAnsi="仿宋" w:eastAsia="仿宋"/>
          <w:color w:val="000000" w:themeColor="text1"/>
          <w:sz w:val="32"/>
          <w:szCs w:val="32"/>
        </w:rPr>
        <w:t>支出488.55万元，占11.7%。</w:t>
      </w:r>
      <w:r>
        <w:rPr>
          <w:rFonts w:hint="eastAsia" w:ascii="仿宋" w:hAnsi="仿宋" w:eastAsia="仿宋"/>
          <w:b/>
          <w:bCs/>
          <w:color w:val="000000" w:themeColor="text1"/>
          <w:sz w:val="32"/>
          <w:szCs w:val="32"/>
        </w:rPr>
        <w:t>其他（类）</w:t>
      </w:r>
      <w:r>
        <w:rPr>
          <w:rFonts w:hint="eastAsia" w:ascii="仿宋" w:hAnsi="仿宋" w:eastAsia="仿宋"/>
          <w:color w:val="000000" w:themeColor="text1"/>
          <w:sz w:val="32"/>
          <w:szCs w:val="32"/>
        </w:rPr>
        <w:t>支出2180.17万元。占52%。</w:t>
      </w:r>
    </w:p>
    <w:p w14:paraId="1BD98B8C">
      <w:pPr>
        <w:spacing w:line="600" w:lineRule="exact"/>
        <w:ind w:firstLine="160" w:firstLineChars="50"/>
        <w:rPr>
          <w:rFonts w:ascii="仿宋" w:hAnsi="仿宋" w:eastAsia="仿宋"/>
          <w:sz w:val="32"/>
          <w:szCs w:val="32"/>
        </w:rPr>
      </w:pPr>
      <w:r>
        <w:rPr>
          <w:rFonts w:hint="eastAsia" w:ascii="仿宋" w:hAnsi="仿宋" w:eastAsia="仿宋"/>
          <w:sz w:val="32"/>
          <w:szCs w:val="32"/>
        </w:rPr>
        <w:t>（图6：一般公共预算财政拨款支出决算结构）（饼状图）</w:t>
      </w:r>
    </w:p>
    <w:p w14:paraId="07886A67">
      <w:r>
        <w:drawing>
          <wp:inline distT="0" distB="0" distL="0" distR="0">
            <wp:extent cx="5274310" cy="2019300"/>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7479BE">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14:paraId="43E71EA7">
      <w:pPr>
        <w:spacing w:line="600" w:lineRule="exact"/>
        <w:ind w:firstLine="643" w:firstLineChars="200"/>
        <w:outlineLvl w:val="2"/>
        <w:rPr>
          <w:rFonts w:ascii="仿宋" w:hAnsi="仿宋" w:eastAsia="仿宋"/>
          <w:b/>
          <w:color w:val="000000" w:themeColor="text1"/>
          <w:sz w:val="32"/>
          <w:szCs w:val="32"/>
        </w:rPr>
      </w:pPr>
      <w:bookmarkStart w:id="35" w:name="_Toc15377213"/>
      <w:bookmarkStart w:id="36" w:name="_Toc15378460"/>
      <w:bookmarkStart w:id="37" w:name="_Toc15377444"/>
      <w:r>
        <w:rPr>
          <w:rFonts w:hint="eastAsia" w:ascii="仿宋" w:hAnsi="仿宋" w:eastAsia="仿宋"/>
          <w:b/>
          <w:color w:val="000000" w:themeColor="text1"/>
          <w:sz w:val="32"/>
          <w:szCs w:val="32"/>
        </w:rPr>
        <w:t>2018年一般公共预算支出决算数为4189.34</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完成预算100</w:t>
      </w:r>
      <w:r>
        <w:rPr>
          <w:rFonts w:ascii="仿宋" w:hAnsi="仿宋" w:eastAsia="仿宋"/>
          <w:b/>
          <w:color w:val="000000" w:themeColor="text1"/>
          <w:sz w:val="32"/>
          <w:szCs w:val="32"/>
        </w:rPr>
        <w:t>%</w:t>
      </w:r>
      <w:r>
        <w:rPr>
          <w:rFonts w:hint="eastAsia" w:ascii="仿宋" w:hAnsi="仿宋" w:eastAsia="仿宋"/>
          <w:b/>
          <w:color w:val="000000" w:themeColor="text1"/>
          <w:sz w:val="32"/>
          <w:szCs w:val="32"/>
        </w:rPr>
        <w:t>。其中：</w:t>
      </w:r>
      <w:bookmarkEnd w:id="35"/>
      <w:bookmarkEnd w:id="36"/>
      <w:bookmarkEnd w:id="37"/>
    </w:p>
    <w:p w14:paraId="160E8E9B">
      <w:pPr>
        <w:spacing w:line="600" w:lineRule="exact"/>
        <w:ind w:firstLine="643" w:firstLineChars="200"/>
        <w:rPr>
          <w:rFonts w:ascii="仿宋" w:hAnsi="仿宋" w:eastAsia="仿宋"/>
          <w:b/>
          <w:color w:val="000000"/>
          <w:sz w:val="32"/>
          <w:szCs w:val="32"/>
        </w:rPr>
      </w:pPr>
      <w:r>
        <w:rPr>
          <w:rFonts w:ascii="仿宋" w:hAnsi="仿宋" w:eastAsia="仿宋"/>
          <w:b/>
          <w:color w:val="000000" w:themeColor="text1"/>
          <w:sz w:val="32"/>
          <w:szCs w:val="32"/>
        </w:rPr>
        <w:t>1</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节能环保支出（类）污染防治（款）水体（项）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支出决算为44.88万元，完成预算100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6C815412">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城乡社区支出（类）城乡社区公共设施（款）其他城乡社区公共设施支出（项）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支出决算为1263.83万元，完成预算100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473781FB">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国土海洋气象等支出（类）国土资源事务（款）土地资源调查（项）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支出决算为182万元，完成预算100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30B6A425">
      <w:pPr>
        <w:spacing w:line="600" w:lineRule="exact"/>
        <w:ind w:firstLine="643" w:firstLineChars="200"/>
        <w:rPr>
          <w:rStyle w:val="12"/>
          <w:rFonts w:ascii="仿宋" w:hAnsi="仿宋" w:eastAsia="仿宋"/>
          <w:b w:val="0"/>
          <w:bCs/>
          <w:color w:val="000000"/>
          <w:sz w:val="32"/>
          <w:szCs w:val="32"/>
        </w:rPr>
      </w:pPr>
      <w:r>
        <w:rPr>
          <w:rStyle w:val="12"/>
          <w:rFonts w:hint="eastAsia" w:ascii="仿宋" w:hAnsi="仿宋" w:eastAsia="仿宋"/>
          <w:bCs/>
          <w:color w:val="000000"/>
          <w:sz w:val="32"/>
          <w:szCs w:val="32"/>
        </w:rPr>
        <w:t>4.国土海洋气象等支出（类）国土资源事务（款）土地资源储备支出（项）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支出决算为5.91万元，完成预算100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67E3E198">
      <w:pPr>
        <w:spacing w:line="600" w:lineRule="exact"/>
        <w:ind w:firstLine="643" w:firstLineChars="200"/>
        <w:rPr>
          <w:rStyle w:val="12"/>
          <w:rFonts w:ascii="仿宋" w:hAnsi="仿宋" w:eastAsia="仿宋"/>
          <w:b w:val="0"/>
          <w:bCs/>
          <w:color w:val="000000"/>
          <w:sz w:val="32"/>
          <w:szCs w:val="32"/>
        </w:rPr>
      </w:pPr>
      <w:r>
        <w:rPr>
          <w:rStyle w:val="12"/>
          <w:rFonts w:hint="eastAsia" w:ascii="仿宋" w:hAnsi="仿宋" w:eastAsia="仿宋"/>
          <w:bCs/>
          <w:color w:val="000000"/>
          <w:sz w:val="32"/>
          <w:szCs w:val="32"/>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国土海洋气象等支出（类）国土资源事务（款）事业运行（项）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支出决算为24万元，完成预算100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19F486AC">
      <w:pPr>
        <w:spacing w:line="600" w:lineRule="exact"/>
        <w:ind w:firstLine="643" w:firstLineChars="200"/>
        <w:rPr>
          <w:rStyle w:val="12"/>
          <w:rFonts w:ascii="仿宋" w:hAnsi="仿宋" w:eastAsia="仿宋"/>
          <w:b w:val="0"/>
          <w:bCs/>
          <w:color w:val="000000"/>
          <w:sz w:val="32"/>
          <w:szCs w:val="32"/>
        </w:rPr>
      </w:pPr>
      <w:r>
        <w:rPr>
          <w:rStyle w:val="12"/>
          <w:rFonts w:hint="eastAsia" w:ascii="仿宋" w:hAnsi="仿宋" w:eastAsia="仿宋"/>
          <w:bCs/>
          <w:color w:val="000000"/>
          <w:sz w:val="32"/>
          <w:szCs w:val="32"/>
        </w:rPr>
        <w:t>6.其他支出（类）其他支出（款）其他支出（项）:</w:t>
      </w:r>
      <w:r>
        <w:rPr>
          <w:rStyle w:val="12"/>
          <w:rFonts w:hint="eastAsia" w:ascii="仿宋" w:hAnsi="仿宋" w:eastAsia="仿宋"/>
          <w:b w:val="0"/>
          <w:bCs/>
          <w:color w:val="000000"/>
          <w:sz w:val="32"/>
          <w:szCs w:val="32"/>
        </w:rPr>
        <w:t>2180.17万元，完成预算100%。</w:t>
      </w:r>
    </w:p>
    <w:p w14:paraId="06A50349">
      <w:pPr>
        <w:spacing w:line="600" w:lineRule="exact"/>
        <w:ind w:firstLine="643" w:firstLineChars="200"/>
        <w:rPr>
          <w:rStyle w:val="12"/>
          <w:rFonts w:ascii="仿宋" w:hAnsi="仿宋" w:eastAsia="仿宋"/>
          <w:b w:val="0"/>
          <w:bCs/>
          <w:color w:val="000000"/>
          <w:sz w:val="32"/>
          <w:szCs w:val="32"/>
        </w:rPr>
      </w:pPr>
      <w:r>
        <w:rPr>
          <w:rStyle w:val="12"/>
          <w:rFonts w:hint="eastAsia" w:ascii="仿宋" w:hAnsi="仿宋" w:eastAsia="仿宋"/>
          <w:bCs/>
          <w:color w:val="000000"/>
          <w:sz w:val="32"/>
          <w:szCs w:val="32"/>
        </w:rPr>
        <w:t>7.债务付息支出（类）地方政府一般债务付息支出（款）地方政府一般债券付息支出（项）：</w:t>
      </w:r>
      <w:r>
        <w:rPr>
          <w:rStyle w:val="12"/>
          <w:rFonts w:hint="eastAsia" w:ascii="仿宋" w:hAnsi="仿宋" w:eastAsia="仿宋"/>
          <w:b w:val="0"/>
          <w:bCs/>
          <w:color w:val="000000"/>
          <w:sz w:val="32"/>
          <w:szCs w:val="32"/>
        </w:rPr>
        <w:t>488.55万元，完成预算100%。</w:t>
      </w:r>
    </w:p>
    <w:p w14:paraId="128B2627">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（数据来源财决公开</w:t>
      </w:r>
      <w:r>
        <w:rPr>
          <w:rFonts w:ascii="仿宋" w:hAnsi="仿宋" w:eastAsia="仿宋"/>
          <w:b/>
          <w:color w:val="000000"/>
          <w:sz w:val="32"/>
          <w:szCs w:val="32"/>
        </w:rPr>
        <w:t>0</w:t>
      </w:r>
      <w:r>
        <w:rPr>
          <w:rFonts w:hint="eastAsia" w:ascii="仿宋" w:hAnsi="仿宋" w:eastAsia="仿宋"/>
          <w:b/>
          <w:color w:val="000000"/>
          <w:sz w:val="32"/>
          <w:szCs w:val="32"/>
        </w:rPr>
        <w:t>6表，罗列全部功能分类科目至项级。上述“预算”口径为调整预算数。增减变动原因为决算数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14:paraId="311F1AA7">
      <w:pPr>
        <w:tabs>
          <w:tab w:val="right" w:pos="8306"/>
        </w:tabs>
        <w:spacing w:line="600" w:lineRule="exact"/>
        <w:ind w:firstLine="640"/>
        <w:outlineLvl w:val="1"/>
        <w:rPr>
          <w:rStyle w:val="17"/>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8"/>
      <w:bookmarkEnd w:id="39"/>
      <w:r>
        <w:rPr>
          <w:rStyle w:val="17"/>
          <w:rFonts w:ascii="黑体" w:hAnsi="黑体" w:eastAsia="黑体"/>
          <w:b w:val="0"/>
        </w:rPr>
        <w:tab/>
      </w:r>
    </w:p>
    <w:p w14:paraId="7F3BEA6C">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8年一般公共预算财政拨款基本支出29.92万元，其中：</w:t>
      </w:r>
    </w:p>
    <w:p w14:paraId="7F12D914">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25.25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4.67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587B984">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（数据来源财决公开</w:t>
      </w:r>
      <w:r>
        <w:rPr>
          <w:rFonts w:hint="eastAsia" w:ascii="仿宋" w:hAnsi="仿宋" w:eastAsia="仿宋"/>
          <w:b/>
          <w:color w:val="000000" w:themeColor="text1"/>
          <w:sz w:val="32"/>
          <w:szCs w:val="32"/>
        </w:rPr>
        <w:tab/>
      </w:r>
      <w:r>
        <w:rPr>
          <w:rFonts w:hint="eastAsia" w:ascii="仿宋" w:hAnsi="仿宋" w:eastAsia="仿宋"/>
          <w:b/>
          <w:color w:val="000000" w:themeColor="text1"/>
          <w:sz w:val="32"/>
          <w:szCs w:val="32"/>
        </w:rPr>
        <w:t>08表，根据本部门实际支出情况罗列全部经济分类科目。）</w:t>
      </w:r>
    </w:p>
    <w:p w14:paraId="3B42E1DF">
      <w:pPr>
        <w:spacing w:line="600" w:lineRule="exact"/>
        <w:ind w:firstLine="640"/>
        <w:outlineLvl w:val="1"/>
        <w:rPr>
          <w:rStyle w:val="17"/>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0"/>
      <w:bookmarkEnd w:id="41"/>
    </w:p>
    <w:p w14:paraId="43B86FF3">
      <w:pPr>
        <w:spacing w:line="600" w:lineRule="exact"/>
        <w:ind w:firstLine="640"/>
        <w:outlineLvl w:val="2"/>
        <w:rPr>
          <w:rFonts w:ascii="仿宋" w:hAnsi="仿宋" w:eastAsia="仿宋"/>
          <w:b/>
          <w:color w:val="000000"/>
        </w:rPr>
      </w:pPr>
      <w:r>
        <w:rPr>
          <w:rFonts w:hint="eastAsia" w:ascii="仿宋" w:hAnsi="仿宋" w:eastAsia="仿宋"/>
          <w:b/>
          <w:color w:val="000000"/>
          <w:sz w:val="32"/>
          <w:szCs w:val="32"/>
        </w:rPr>
        <w:t>（一）“三公”经费财政拨款支出决算总体情况说明</w:t>
      </w:r>
    </w:p>
    <w:p w14:paraId="0F50CF7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2018年“三公”经费财政拨款支出决算为0万元，完成预算100%。</w:t>
      </w:r>
    </w:p>
    <w:p w14:paraId="0D88D0DC">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14:paraId="14DDE315">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14:paraId="346C6942">
      <w:pPr>
        <w:spacing w:line="600" w:lineRule="exact"/>
        <w:ind w:firstLine="640"/>
        <w:outlineLvl w:val="2"/>
        <w:rPr>
          <w:rFonts w:ascii="仿宋" w:hAnsi="仿宋" w:eastAsia="仿宋"/>
          <w:color w:val="000000"/>
          <w:sz w:val="32"/>
          <w:szCs w:val="32"/>
        </w:rPr>
      </w:pPr>
      <w:r>
        <w:rPr>
          <w:rFonts w:hint="eastAsia" w:ascii="仿宋" w:hAnsi="仿宋" w:eastAsia="仿宋"/>
          <w:color w:val="000000"/>
          <w:sz w:val="32"/>
          <w:szCs w:val="32"/>
        </w:rPr>
        <w:t>2018年“三公”经费财政拨款支出决算中，因公出国（境）费支出决算0万元，占0%；公务用车购置及运行维护费支出决算0万元，占0%；公务接待费支出决算0万元，占0%。具体情况如下：</w:t>
      </w:r>
    </w:p>
    <w:p w14:paraId="2C2FB784">
      <w:pPr>
        <w:spacing w:line="600" w:lineRule="exact"/>
        <w:ind w:firstLine="480" w:firstLineChars="150"/>
        <w:rPr>
          <w:rFonts w:ascii="仿宋" w:hAnsi="仿宋" w:eastAsia="仿宋"/>
          <w:sz w:val="32"/>
          <w:szCs w:val="32"/>
        </w:rPr>
      </w:pPr>
      <w:r>
        <w:rPr>
          <w:rFonts w:hint="eastAsia" w:ascii="仿宋" w:hAnsi="仿宋" w:eastAsia="仿宋"/>
          <w:sz w:val="32"/>
          <w:szCs w:val="32"/>
        </w:rPr>
        <w:t>（图8：“三公”经费财政拨款支出结构）（饼状图）</w:t>
      </w:r>
    </w:p>
    <w:p w14:paraId="39969175">
      <w:r>
        <w:drawing>
          <wp:inline distT="0" distB="0" distL="0" distR="0">
            <wp:extent cx="5274310" cy="2228850"/>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0F6E4D">
      <w:pPr>
        <w:spacing w:line="600" w:lineRule="exact"/>
        <w:ind w:firstLine="640"/>
        <w:rPr>
          <w:rFonts w:ascii="仿宋_GB2312" w:eastAsia="仿宋_GB2312"/>
          <w:b/>
          <w:color w:val="000000"/>
          <w:sz w:val="32"/>
          <w:szCs w:val="32"/>
        </w:rPr>
      </w:pPr>
      <w:bookmarkStart w:id="42" w:name="_Toc15396610"/>
      <w:bookmarkStart w:id="43" w:name="_Toc15377218"/>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r>
        <w:rPr>
          <w:rStyle w:val="12"/>
          <w:rFonts w:hint="eastAsia" w:ascii="仿宋" w:hAnsi="仿宋" w:eastAsia="仿宋"/>
          <w:bCs/>
          <w:color w:val="000000"/>
        </w:rPr>
        <w:t>。</w:t>
      </w:r>
      <w:r>
        <w:rPr>
          <w:rFonts w:hint="eastAsia" w:ascii="仿宋_GB2312" w:eastAsia="仿宋_GB2312"/>
          <w:color w:val="000000"/>
          <w:sz w:val="32"/>
          <w:szCs w:val="32"/>
        </w:rPr>
        <w:t>全年安排因公出国（境）团组0次，出国（境）0人。因公出国（境）支出决算比2017年增加/减少0万元，增长/下降0%。</w:t>
      </w:r>
    </w:p>
    <w:p w14:paraId="1DED836D">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r>
        <w:rPr>
          <w:rStyle w:val="12"/>
          <w:rFonts w:hint="eastAsia" w:ascii="仿宋" w:hAnsi="仿宋" w:eastAsia="仿宋"/>
          <w:bCs/>
          <w:color w:val="000000"/>
        </w:rPr>
        <w:t>。</w:t>
      </w:r>
      <w:r>
        <w:rPr>
          <w:rFonts w:hint="eastAsia" w:ascii="仿宋_GB2312" w:eastAsia="仿宋_GB2312"/>
          <w:color w:val="000000"/>
          <w:sz w:val="32"/>
          <w:szCs w:val="32"/>
        </w:rPr>
        <w:t>公务用车购置及运行维护费支出决算比2017年增加/减少0万元，增长/下降0%。</w:t>
      </w:r>
    </w:p>
    <w:p w14:paraId="6AA6CF2C">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0万元。全年按规定更新购置公务用车0辆，其中：轿车0辆、金额0万元，越野车0辆、金额0万元，载客汽车0辆、金额0万元。截至2018年12月底，单位共有公务用车0辆，其中：轿车0辆、越野车0辆、载客汽车0辆。</w:t>
      </w:r>
    </w:p>
    <w:p w14:paraId="34AB1D09">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4B7D9BEC">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0万元，完成预算0%。公务接待费支出决算比2017年增加0万元，增长0%。</w:t>
      </w:r>
    </w:p>
    <w:p w14:paraId="655B3B84">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14:paraId="33C1F20B">
      <w:pPr>
        <w:spacing w:line="600" w:lineRule="exact"/>
        <w:ind w:firstLine="640"/>
        <w:outlineLvl w:val="1"/>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14:paraId="1F19E7A5">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2"/>
      <w:bookmarkEnd w:id="43"/>
    </w:p>
    <w:p w14:paraId="7EF02FA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8年政府性基金预算拨款支出45490.27万元。</w:t>
      </w:r>
    </w:p>
    <w:p w14:paraId="602A9BD3">
      <w:pPr>
        <w:numPr>
          <w:ilvl w:val="0"/>
          <w:numId w:val="4"/>
        </w:numPr>
        <w:spacing w:line="600" w:lineRule="exact"/>
        <w:ind w:firstLine="640"/>
        <w:outlineLvl w:val="1"/>
        <w:rPr>
          <w:rStyle w:val="17"/>
          <w:rFonts w:ascii="黑体" w:hAnsi="黑体" w:eastAsia="黑体"/>
          <w:b w:val="0"/>
        </w:rPr>
      </w:pPr>
      <w:bookmarkStart w:id="44" w:name="_Toc15377219"/>
      <w:bookmarkStart w:id="45" w:name="_Toc15396611"/>
      <w:r>
        <w:rPr>
          <w:rStyle w:val="17"/>
          <w:rFonts w:hint="eastAsia" w:ascii="黑体" w:hAnsi="黑体" w:eastAsia="黑体"/>
          <w:b w:val="0"/>
        </w:rPr>
        <w:t>国有资本经营预算支出决算情况说明</w:t>
      </w:r>
      <w:bookmarkEnd w:id="44"/>
      <w:bookmarkEnd w:id="45"/>
    </w:p>
    <w:p w14:paraId="4AEC663D">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1DD528E8">
      <w:pPr>
        <w:pStyle w:val="18"/>
        <w:numPr>
          <w:ilvl w:val="0"/>
          <w:numId w:val="5"/>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14:paraId="3DAA4362">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3B2A5D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21个项目开展了预算事前绩效评估，对21个项目编制了绩效目标，预算执行过程中，选取5个项目开展绩效监控，年终执行完毕后，对5个项目开展了绩效目标完成情况梳理。</w:t>
      </w:r>
    </w:p>
    <w:p w14:paraId="6B396EB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59E9D243">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本部门在2018年度部门决算中反映“被征地农民社会保险历史欠费清缴项目”、“第三次全国土地调查费用项目”、“乐山市一水厂清场资金”等5个项目绩效目标实际完成情况。</w:t>
      </w:r>
    </w:p>
    <w:p w14:paraId="6D69F166">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“被征地农民社会保险历史欠费清缴项目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项目绩效目标完成情况综述。项目全年预算数8600万元，执行数为8600万元，完成预算的100%。通过项目实施，完成高新区征地拆迁范围内失地农民社会保险及历史欠费清缴费用。</w:t>
      </w:r>
    </w:p>
    <w:p w14:paraId="20613980">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次全国土地调查费用项目”项目绩效目标完成情况综述。项目全年预算数70万元，执行数为70万元，完成预算的100%。通过项目实施，按照《四川省国土资源厅办公室关于做好第三次全国土地调查筹备工作的通知》（川国土资办函﹝2017﹞108号）做好我区80平方公里全范围覆盖的土地调查工作。满足全区社会经济发展、生态文明建设和自然资源资产管理体制改革。</w:t>
      </w:r>
    </w:p>
    <w:p w14:paraId="24065773">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“乐山市一水厂清场资金”项目绩效目标完成情况综述。项目全年预算数500万元，执行数为500万元，完成预算的100%。通过项目实施，保障乐山市一水厂项目用地，加快高新区基础设施发展。</w:t>
      </w:r>
    </w:p>
    <w:p w14:paraId="6C3E48DB">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征地下清、社保等费用”项目绩效目标完成情况综述。该项目为市级预算专项补贴资金，项目全年预算数900万元，执行数为900万元，完成预算的100%。通过项目实施，保障人民医院项目用地，加快高新区医疗产业发展。</w:t>
      </w:r>
    </w:p>
    <w:p w14:paraId="0CF115A9">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“基本农田调整方案编制” 项目绩效目标完成情况综述。项目全年预算数20万元，执行数为20万元，完成预算的100%。通过项目实施，完成2018年度项目占用基本农田所涉及的调整和补划方案编制等工作，为总部经济区项目建设提供土地要素保障。</w:t>
      </w:r>
    </w:p>
    <w:tbl>
      <w:tblPr>
        <w:tblStyle w:val="10"/>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367"/>
        <w:gridCol w:w="1025"/>
        <w:gridCol w:w="68"/>
        <w:gridCol w:w="2324"/>
        <w:gridCol w:w="2394"/>
        <w:gridCol w:w="2512"/>
      </w:tblGrid>
      <w:tr w14:paraId="5D567122">
        <w:tblPrEx>
          <w:tblCellMar>
            <w:top w:w="0" w:type="dxa"/>
            <w:left w:w="0" w:type="dxa"/>
            <w:bottom w:w="0" w:type="dxa"/>
            <w:right w:w="0" w:type="dxa"/>
          </w:tblCellMar>
        </w:tblPrEx>
        <w:trPr>
          <w:trHeight w:val="1034" w:hRule="atLeast"/>
        </w:trPr>
        <w:tc>
          <w:tcPr>
            <w:tcW w:w="10080" w:type="dxa"/>
            <w:gridSpan w:val="7"/>
            <w:tcMar>
              <w:top w:w="15" w:type="dxa"/>
              <w:left w:w="15" w:type="dxa"/>
              <w:bottom w:w="0" w:type="dxa"/>
              <w:right w:w="15" w:type="dxa"/>
            </w:tcMar>
            <w:vAlign w:val="center"/>
          </w:tcPr>
          <w:p w14:paraId="7C3E12BA">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4A6E310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BC31F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965AE6">
            <w:pPr>
              <w:widowControl/>
              <w:jc w:val="center"/>
              <w:textAlignment w:val="center"/>
              <w:rPr>
                <w:rFonts w:ascii="宋体" w:hAnsi="宋体" w:cs="宋体"/>
                <w:color w:val="000000"/>
                <w:sz w:val="24"/>
              </w:rPr>
            </w:pPr>
            <w:r>
              <w:rPr>
                <w:rFonts w:hint="eastAsia" w:ascii="宋体" w:hAnsi="宋体" w:cs="宋体"/>
                <w:color w:val="000000"/>
                <w:sz w:val="24"/>
              </w:rPr>
              <w:t>被征地农民社会保险历史欠费清缴项目</w:t>
            </w:r>
          </w:p>
        </w:tc>
      </w:tr>
      <w:tr w14:paraId="3BE2727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F54DFD">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6173AB">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乐山高新技术产业开发区土地储备中心</w:t>
            </w:r>
          </w:p>
        </w:tc>
      </w:tr>
      <w:tr w14:paraId="08AA7A0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C950C9">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CC67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0C8F9C">
            <w:pPr>
              <w:widowControl/>
              <w:jc w:val="center"/>
              <w:textAlignment w:val="center"/>
              <w:rPr>
                <w:rFonts w:ascii="宋体" w:hAnsi="宋体" w:cs="宋体"/>
                <w:color w:val="000000"/>
                <w:sz w:val="24"/>
              </w:rPr>
            </w:pPr>
            <w:r>
              <w:rPr>
                <w:rFonts w:hint="eastAsia" w:ascii="宋体" w:hAnsi="宋体" w:cs="宋体"/>
                <w:color w:val="000000"/>
                <w:sz w:val="24"/>
              </w:rPr>
              <w:t>8600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85B75">
            <w:pPr>
              <w:widowControl/>
              <w:jc w:val="center"/>
              <w:textAlignment w:val="center"/>
              <w:rPr>
                <w:rFonts w:ascii="宋体" w:hAnsi="宋体" w:cs="宋体"/>
                <w:color w:val="000000"/>
                <w:sz w:val="24"/>
              </w:rPr>
            </w:pPr>
            <w:r>
              <w:rPr>
                <w:rFonts w:hint="eastAsia" w:ascii="宋体" w:hAnsi="宋体" w:cs="宋体"/>
                <w:color w:val="000000"/>
                <w:sz w:val="24"/>
              </w:rPr>
              <w:t>执行数: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EB63F0">
            <w:pPr>
              <w:widowControl/>
              <w:jc w:val="center"/>
              <w:textAlignment w:val="center"/>
              <w:rPr>
                <w:rFonts w:ascii="宋体" w:hAnsi="宋体" w:cs="宋体"/>
                <w:color w:val="000000"/>
                <w:sz w:val="24"/>
              </w:rPr>
            </w:pPr>
            <w:r>
              <w:rPr>
                <w:rFonts w:hint="eastAsia" w:ascii="宋体" w:hAnsi="宋体" w:cs="宋体"/>
                <w:color w:val="000000"/>
                <w:sz w:val="24"/>
              </w:rPr>
              <w:t>8600</w:t>
            </w:r>
          </w:p>
        </w:tc>
      </w:tr>
      <w:tr w14:paraId="00BF65F7">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537FBF">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8C7C0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56EFE">
            <w:pPr>
              <w:widowControl/>
              <w:jc w:val="center"/>
              <w:textAlignment w:val="center"/>
              <w:rPr>
                <w:rFonts w:ascii="宋体" w:hAnsi="宋体" w:cs="宋体"/>
                <w:color w:val="000000"/>
                <w:sz w:val="24"/>
              </w:rPr>
            </w:pPr>
            <w:r>
              <w:rPr>
                <w:rFonts w:hint="eastAsia" w:ascii="宋体" w:hAnsi="宋体" w:cs="宋体"/>
                <w:color w:val="000000"/>
                <w:sz w:val="24"/>
              </w:rPr>
              <w:t>8600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006955">
            <w:pPr>
              <w:widowControl/>
              <w:jc w:val="center"/>
              <w:textAlignment w:val="center"/>
              <w:rPr>
                <w:rFonts w:ascii="宋体" w:hAnsi="宋体" w:cs="宋体"/>
                <w:color w:val="000000"/>
                <w:sz w:val="24"/>
              </w:rPr>
            </w:pPr>
            <w:r>
              <w:rPr>
                <w:rFonts w:hint="eastAsia" w:ascii="宋体" w:hAnsi="宋体" w:cs="宋体"/>
                <w:color w:val="000000"/>
                <w:sz w:val="24"/>
              </w:rPr>
              <w:t>其中-财政拨款:</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ACEEC7">
            <w:pPr>
              <w:widowControl/>
              <w:jc w:val="center"/>
              <w:textAlignment w:val="center"/>
              <w:rPr>
                <w:rFonts w:ascii="宋体" w:hAnsi="宋体" w:cs="宋体"/>
                <w:color w:val="000000"/>
                <w:sz w:val="24"/>
              </w:rPr>
            </w:pPr>
            <w:r>
              <w:rPr>
                <w:rFonts w:hint="eastAsia" w:ascii="宋体" w:hAnsi="宋体" w:cs="宋体"/>
                <w:color w:val="000000"/>
                <w:sz w:val="24"/>
              </w:rPr>
              <w:t>8600</w:t>
            </w:r>
          </w:p>
        </w:tc>
      </w:tr>
      <w:tr w14:paraId="0596D01E">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18C511">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7217E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C1AC8F">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1A993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281128">
            <w:pPr>
              <w:jc w:val="center"/>
              <w:rPr>
                <w:rFonts w:ascii="宋体" w:hAnsi="宋体" w:cs="宋体"/>
                <w:color w:val="000000"/>
                <w:sz w:val="24"/>
              </w:rPr>
            </w:pPr>
            <w:r>
              <w:rPr>
                <w:rFonts w:hint="eastAsia" w:ascii="宋体" w:hAnsi="宋体" w:cs="宋体"/>
                <w:color w:val="000000"/>
                <w:sz w:val="24"/>
              </w:rPr>
              <w:t>0</w:t>
            </w:r>
          </w:p>
        </w:tc>
      </w:tr>
      <w:tr w14:paraId="4B32C2D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01F42D">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84518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22963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3265838">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F30CDB">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185701">
            <w:pPr>
              <w:widowControl/>
              <w:jc w:val="center"/>
              <w:textAlignment w:val="center"/>
              <w:rPr>
                <w:rFonts w:ascii="宋体" w:hAnsi="宋体" w:cs="宋体"/>
                <w:color w:val="000000"/>
                <w:sz w:val="24"/>
              </w:rPr>
            </w:pPr>
            <w:r>
              <w:rPr>
                <w:rFonts w:hint="eastAsia" w:ascii="宋体" w:hAnsi="宋体" w:cs="宋体"/>
                <w:color w:val="000000"/>
                <w:sz w:val="24"/>
              </w:rPr>
              <w:t>完成高新区征地拆迁范围内失地农民社会保险及历史欠费清缴费用</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00A352">
            <w:pPr>
              <w:widowControl/>
              <w:jc w:val="center"/>
              <w:textAlignment w:val="center"/>
              <w:rPr>
                <w:rFonts w:ascii="宋体" w:hAnsi="宋体" w:cs="宋体"/>
                <w:color w:val="000000"/>
                <w:sz w:val="24"/>
              </w:rPr>
            </w:pPr>
            <w:r>
              <w:rPr>
                <w:rFonts w:hint="eastAsia" w:ascii="宋体" w:hAnsi="宋体" w:cs="宋体"/>
                <w:color w:val="000000"/>
                <w:sz w:val="24"/>
              </w:rPr>
              <w:t>完成高新区征地拆迁范围内失地农民社会保险及历史欠费清缴费用</w:t>
            </w:r>
          </w:p>
        </w:tc>
      </w:tr>
      <w:tr w14:paraId="795FF9FB">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A2733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798FD">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E568B">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DBD28">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712037">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71F87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08A53D6">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149100">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4F2D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63519B">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E75F97">
            <w:pPr>
              <w:widowControl/>
              <w:jc w:val="left"/>
              <w:textAlignment w:val="center"/>
              <w:rPr>
                <w:rFonts w:ascii="宋体" w:hAnsi="宋体" w:cs="宋体"/>
                <w:color w:val="000000"/>
                <w:sz w:val="24"/>
              </w:rPr>
            </w:pPr>
            <w:r>
              <w:rPr>
                <w:rFonts w:hint="eastAsia" w:ascii="宋体" w:hAnsi="宋体" w:cs="宋体"/>
                <w:color w:val="000000"/>
                <w:kern w:val="0"/>
                <w:sz w:val="24"/>
              </w:rPr>
              <w:t>被征地农民社会保险历史欠费清缴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323A6C">
            <w:pPr>
              <w:widowControl/>
              <w:jc w:val="left"/>
              <w:textAlignment w:val="center"/>
              <w:rPr>
                <w:rFonts w:ascii="宋体" w:hAnsi="宋体" w:cs="宋体"/>
                <w:color w:val="000000"/>
                <w:sz w:val="24"/>
              </w:rPr>
            </w:pPr>
            <w:r>
              <w:rPr>
                <w:rFonts w:hint="eastAsia" w:ascii="宋体" w:hAnsi="宋体" w:cs="宋体"/>
                <w:color w:val="000000"/>
                <w:kern w:val="0"/>
                <w:sz w:val="24"/>
              </w:rPr>
              <w:t>按市人事局要求完成</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03E867">
            <w:pPr>
              <w:widowControl/>
              <w:jc w:val="left"/>
              <w:textAlignment w:val="center"/>
              <w:rPr>
                <w:rFonts w:ascii="宋体" w:hAnsi="宋体" w:cs="宋体"/>
                <w:color w:val="000000"/>
                <w:sz w:val="24"/>
              </w:rPr>
            </w:pPr>
            <w:r>
              <w:rPr>
                <w:rFonts w:hint="eastAsia" w:ascii="宋体" w:hAnsi="宋体" w:cs="宋体"/>
                <w:color w:val="000000"/>
                <w:kern w:val="0"/>
                <w:sz w:val="24"/>
              </w:rPr>
              <w:t>按市人事局要求完成</w:t>
            </w:r>
          </w:p>
        </w:tc>
      </w:tr>
      <w:tr w14:paraId="1D584810">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321333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008E3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06CA3C">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377A3">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170FD8">
            <w:pPr>
              <w:rPr>
                <w:rFonts w:ascii="宋体" w:hAnsi="宋体" w:cs="宋体"/>
                <w:color w:val="000000"/>
                <w:szCs w:val="21"/>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B26B6">
            <w:pPr>
              <w:rPr>
                <w:rFonts w:ascii="宋体" w:hAnsi="宋体" w:cs="宋体"/>
                <w:color w:val="000000"/>
                <w:szCs w:val="21"/>
              </w:rPr>
            </w:pPr>
          </w:p>
        </w:tc>
      </w:tr>
      <w:tr w14:paraId="0D0D995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1C577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D7C5E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3ABE26">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74A7AE">
            <w:pPr>
              <w:widowControl/>
              <w:jc w:val="left"/>
              <w:textAlignment w:val="center"/>
              <w:rPr>
                <w:rFonts w:ascii="宋体" w:hAnsi="宋体" w:cs="宋体"/>
                <w:color w:val="000000"/>
                <w:sz w:val="24"/>
              </w:rPr>
            </w:pPr>
            <w:r>
              <w:rPr>
                <w:rFonts w:hint="eastAsia" w:ascii="宋体" w:hAnsi="宋体" w:cs="宋体"/>
                <w:color w:val="000000"/>
                <w:kern w:val="0"/>
                <w:sz w:val="24"/>
              </w:rPr>
              <w:t>被征地农民社会保险历史欠费清缴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F47208">
            <w:pPr>
              <w:widowControl/>
              <w:jc w:val="left"/>
              <w:textAlignment w:val="center"/>
              <w:rPr>
                <w:rFonts w:ascii="宋体" w:hAnsi="宋体" w:cs="宋体"/>
                <w:color w:val="000000"/>
                <w:sz w:val="24"/>
              </w:rPr>
            </w:pPr>
            <w:r>
              <w:rPr>
                <w:rFonts w:hint="eastAsia" w:ascii="宋体" w:hAnsi="宋体" w:cs="宋体"/>
                <w:color w:val="000000"/>
                <w:kern w:val="0"/>
                <w:sz w:val="20"/>
                <w:szCs w:val="20"/>
              </w:rPr>
              <w:t>及时</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506C3">
            <w:pPr>
              <w:widowControl/>
              <w:jc w:val="left"/>
              <w:textAlignment w:val="center"/>
              <w:rPr>
                <w:rFonts w:ascii="宋体" w:hAnsi="宋体" w:cs="宋体"/>
                <w:color w:val="000000"/>
                <w:sz w:val="24"/>
              </w:rPr>
            </w:pPr>
            <w:r>
              <w:rPr>
                <w:rFonts w:hint="eastAsia" w:ascii="宋体" w:hAnsi="宋体" w:cs="宋体"/>
                <w:color w:val="000000"/>
                <w:kern w:val="0"/>
                <w:sz w:val="20"/>
                <w:szCs w:val="20"/>
              </w:rPr>
              <w:t>及时</w:t>
            </w:r>
          </w:p>
        </w:tc>
      </w:tr>
      <w:tr w14:paraId="3D7905F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A81E99D">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82504">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B593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7CCE70">
            <w:pPr>
              <w:widowControl/>
              <w:jc w:val="left"/>
              <w:textAlignment w:val="center"/>
              <w:rPr>
                <w:rFonts w:ascii="宋体" w:hAnsi="宋体" w:cs="宋体"/>
                <w:color w:val="000000"/>
                <w:sz w:val="24"/>
              </w:rPr>
            </w:pPr>
            <w:r>
              <w:rPr>
                <w:rFonts w:hint="eastAsia" w:ascii="宋体" w:hAnsi="宋体" w:cs="宋体"/>
                <w:color w:val="000000"/>
                <w:kern w:val="0"/>
                <w:sz w:val="24"/>
              </w:rPr>
              <w:t>缴纳标准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BA058D">
            <w:pPr>
              <w:widowControl/>
              <w:jc w:val="left"/>
              <w:textAlignment w:val="center"/>
              <w:rPr>
                <w:rFonts w:ascii="宋体" w:hAnsi="宋体" w:cs="宋体"/>
                <w:color w:val="000000"/>
                <w:sz w:val="24"/>
              </w:rPr>
            </w:pPr>
            <w:r>
              <w:rPr>
                <w:rFonts w:hint="eastAsia" w:ascii="宋体" w:hAnsi="宋体" w:cs="宋体"/>
                <w:color w:val="000000"/>
                <w:kern w:val="0"/>
                <w:sz w:val="24"/>
              </w:rPr>
              <w:t>按市人事局规定的政策标准</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1166E">
            <w:pPr>
              <w:widowControl/>
              <w:jc w:val="left"/>
              <w:textAlignment w:val="center"/>
              <w:rPr>
                <w:rFonts w:ascii="宋体" w:hAnsi="宋体" w:cs="宋体"/>
                <w:color w:val="000000"/>
                <w:sz w:val="24"/>
              </w:rPr>
            </w:pPr>
            <w:r>
              <w:rPr>
                <w:rFonts w:hint="eastAsia" w:ascii="宋体" w:hAnsi="宋体" w:cs="宋体"/>
                <w:color w:val="000000"/>
                <w:kern w:val="0"/>
                <w:sz w:val="24"/>
              </w:rPr>
              <w:t>按市人事局规定的政策标准</w:t>
            </w:r>
          </w:p>
        </w:tc>
      </w:tr>
      <w:tr w14:paraId="2D6E2B6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DF79B5">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39A91F06">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p w14:paraId="575CD2D7">
            <w:pPr>
              <w:widowControl/>
              <w:jc w:val="center"/>
              <w:textAlignment w:val="center"/>
              <w:rPr>
                <w:rFonts w:ascii="宋体" w:hAnsi="宋体" w:cs="宋体"/>
                <w:color w:val="00000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1CE6CB">
            <w:pPr>
              <w:widowControl/>
              <w:jc w:val="center"/>
              <w:textAlignment w:val="center"/>
              <w:rPr>
                <w:rFonts w:ascii="宋体" w:hAnsi="宋体" w:cs="宋体"/>
                <w:color w:val="00000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AD41C1">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FB753C">
            <w:pPr>
              <w:rPr>
                <w:rFonts w:ascii="宋体" w:hAnsi="宋体" w:cs="宋体"/>
                <w:color w:val="000000"/>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7CD15">
            <w:pPr>
              <w:rPr>
                <w:rFonts w:ascii="宋体" w:hAnsi="宋体" w:cs="宋体"/>
                <w:color w:val="000000"/>
                <w:sz w:val="24"/>
              </w:rPr>
            </w:pPr>
          </w:p>
        </w:tc>
      </w:tr>
      <w:tr w14:paraId="4D1A8C7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F381406">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14:paraId="44293627">
            <w:pPr>
              <w:widowControl/>
              <w:jc w:val="center"/>
              <w:textAlignment w:val="center"/>
              <w:rPr>
                <w:rFonts w:ascii="宋体" w:hAnsi="宋体" w:cs="宋体"/>
                <w:color w:val="00000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2BD693">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302D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1CCB7B">
            <w:pPr>
              <w:rPr>
                <w:rFonts w:ascii="宋体" w:hAnsi="宋体" w:cs="宋体"/>
                <w:color w:val="000000"/>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61F630">
            <w:pPr>
              <w:rPr>
                <w:rFonts w:ascii="宋体" w:hAnsi="宋体" w:cs="宋体"/>
                <w:color w:val="000000"/>
                <w:sz w:val="24"/>
              </w:rPr>
            </w:pPr>
          </w:p>
        </w:tc>
      </w:tr>
      <w:tr w14:paraId="4B218E2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9067C8">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14:paraId="07A193F5">
            <w:pPr>
              <w:widowControl/>
              <w:jc w:val="center"/>
              <w:textAlignment w:val="center"/>
              <w:rPr>
                <w:rFonts w:ascii="宋体" w:hAnsi="宋体" w:cs="宋体"/>
                <w:color w:val="000000"/>
                <w:kern w:val="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E5E3E0">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44E7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99BFE">
            <w:pPr>
              <w:rPr>
                <w:rFonts w:ascii="宋体" w:hAnsi="宋体" w:cs="宋体"/>
                <w:color w:val="000000"/>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C046E5">
            <w:pPr>
              <w:rPr>
                <w:rFonts w:ascii="宋体" w:hAnsi="宋体" w:cs="宋体"/>
                <w:color w:val="000000"/>
                <w:sz w:val="24"/>
              </w:rPr>
            </w:pPr>
          </w:p>
        </w:tc>
      </w:tr>
      <w:tr w14:paraId="47ECDC4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356D2B">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D73766F">
            <w:pPr>
              <w:widowControl/>
              <w:jc w:val="center"/>
              <w:textAlignment w:val="center"/>
              <w:rPr>
                <w:rFonts w:ascii="宋体" w:hAnsi="宋体" w:cs="宋体"/>
                <w:color w:val="00000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35C337">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35B88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CE6CCC">
            <w:pPr>
              <w:rPr>
                <w:rFonts w:ascii="宋体" w:hAnsi="宋体" w:cs="宋体"/>
                <w:color w:val="000000"/>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05DFC">
            <w:pPr>
              <w:rPr>
                <w:rFonts w:ascii="宋体" w:hAnsi="宋体" w:cs="宋体"/>
                <w:color w:val="000000"/>
                <w:sz w:val="24"/>
              </w:rPr>
            </w:pPr>
          </w:p>
        </w:tc>
      </w:tr>
      <w:tr w14:paraId="1DA823D4">
        <w:tblPrEx>
          <w:tblCellMar>
            <w:top w:w="0" w:type="dxa"/>
            <w:left w:w="0" w:type="dxa"/>
            <w:bottom w:w="0" w:type="dxa"/>
            <w:right w:w="0" w:type="dxa"/>
          </w:tblCellMar>
        </w:tblPrEx>
        <w:trPr>
          <w:trHeight w:val="1297"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23C30DC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1C652E">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D44F2">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E2EED3">
            <w:pPr>
              <w:widowControl/>
              <w:jc w:val="left"/>
              <w:textAlignment w:val="center"/>
              <w:rPr>
                <w:rFonts w:ascii="宋体" w:hAnsi="宋体" w:cs="宋体"/>
                <w:color w:val="000000"/>
                <w:kern w:val="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4CDAD">
            <w:pPr>
              <w:rPr>
                <w:rFonts w:ascii="宋体" w:hAnsi="宋体" w:cs="宋体"/>
                <w:color w:val="000000"/>
                <w:sz w:val="24"/>
              </w:rPr>
            </w:pPr>
            <w:r>
              <w:rPr>
                <w:rFonts w:hint="eastAsia" w:ascii="宋体" w:hAnsi="宋体" w:cs="宋体"/>
                <w:color w:val="000000"/>
                <w:sz w:val="24"/>
              </w:rPr>
              <w:t>失地农民</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907749">
            <w:pPr>
              <w:rPr>
                <w:rFonts w:ascii="宋体" w:hAnsi="宋体" w:cs="宋体"/>
                <w:color w:val="000000"/>
                <w:sz w:val="24"/>
              </w:rPr>
            </w:pPr>
            <w:r>
              <w:rPr>
                <w:rFonts w:hint="eastAsia" w:ascii="宋体" w:hAnsi="宋体" w:cs="宋体"/>
                <w:color w:val="000000"/>
                <w:sz w:val="24"/>
              </w:rPr>
              <w:t>满意度大于90%</w:t>
            </w:r>
          </w:p>
        </w:tc>
      </w:tr>
    </w:tbl>
    <w:p w14:paraId="266BE0B8">
      <w:pPr>
        <w:pStyle w:val="18"/>
        <w:numPr>
          <w:ilvl w:val="0"/>
          <w:numId w:val="7"/>
        </w:numPr>
        <w:ind w:firstLineChars="0"/>
        <w:rPr>
          <w:rFonts w:ascii="Calibri" w:hAnsi="Calibri"/>
        </w:rPr>
      </w:pPr>
    </w:p>
    <w:tbl>
      <w:tblPr>
        <w:tblStyle w:val="10"/>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367"/>
        <w:gridCol w:w="1025"/>
        <w:gridCol w:w="68"/>
        <w:gridCol w:w="2303"/>
        <w:gridCol w:w="2415"/>
        <w:gridCol w:w="2512"/>
      </w:tblGrid>
      <w:tr w14:paraId="369357B6">
        <w:tblPrEx>
          <w:tblCellMar>
            <w:top w:w="0" w:type="dxa"/>
            <w:left w:w="0" w:type="dxa"/>
            <w:bottom w:w="0" w:type="dxa"/>
            <w:right w:w="0" w:type="dxa"/>
          </w:tblCellMar>
        </w:tblPrEx>
        <w:trPr>
          <w:trHeight w:val="1034" w:hRule="atLeast"/>
        </w:trPr>
        <w:tc>
          <w:tcPr>
            <w:tcW w:w="10080" w:type="dxa"/>
            <w:gridSpan w:val="7"/>
            <w:tcMar>
              <w:top w:w="15" w:type="dxa"/>
              <w:left w:w="15" w:type="dxa"/>
              <w:bottom w:w="0" w:type="dxa"/>
              <w:right w:w="15" w:type="dxa"/>
            </w:tcMar>
            <w:vAlign w:val="center"/>
          </w:tcPr>
          <w:p w14:paraId="1BE867EC">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4C72A24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E5299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7762ED">
            <w:pPr>
              <w:widowControl/>
              <w:jc w:val="center"/>
              <w:textAlignment w:val="center"/>
              <w:rPr>
                <w:rFonts w:ascii="宋体" w:hAnsi="宋体" w:cs="宋体"/>
                <w:color w:val="000000"/>
                <w:sz w:val="24"/>
              </w:rPr>
            </w:pPr>
            <w:r>
              <w:rPr>
                <w:rFonts w:hint="eastAsia" w:ascii="宋体" w:hAnsi="宋体" w:cs="宋体"/>
                <w:color w:val="000000"/>
                <w:sz w:val="24"/>
              </w:rPr>
              <w:t>第三次全国土地调查费用</w:t>
            </w:r>
          </w:p>
        </w:tc>
      </w:tr>
      <w:tr w14:paraId="503FB6D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7B03F8">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3F801C">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乐山高新技术产业开发区土地储备中心</w:t>
            </w:r>
          </w:p>
        </w:tc>
      </w:tr>
      <w:tr w14:paraId="59E1D849">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60AAF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66CFF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4B5FB5">
            <w:pPr>
              <w:widowControl/>
              <w:jc w:val="center"/>
              <w:textAlignment w:val="center"/>
              <w:rPr>
                <w:rFonts w:ascii="宋体" w:hAnsi="宋体" w:cs="宋体"/>
                <w:color w:val="000000"/>
                <w:sz w:val="24"/>
              </w:rPr>
            </w:pPr>
            <w:r>
              <w:rPr>
                <w:rFonts w:hint="eastAsia" w:ascii="宋体" w:hAnsi="宋体" w:cs="宋体"/>
                <w:color w:val="000000"/>
                <w:sz w:val="24"/>
              </w:rPr>
              <w:t>70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0AF0EB">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786A76">
            <w:pPr>
              <w:widowControl/>
              <w:jc w:val="center"/>
              <w:textAlignment w:val="center"/>
              <w:rPr>
                <w:rFonts w:ascii="宋体" w:hAnsi="宋体" w:cs="宋体"/>
                <w:color w:val="000000"/>
                <w:sz w:val="24"/>
              </w:rPr>
            </w:pPr>
            <w:r>
              <w:rPr>
                <w:rFonts w:hint="eastAsia" w:ascii="宋体" w:hAnsi="宋体" w:cs="宋体"/>
                <w:color w:val="000000"/>
                <w:sz w:val="24"/>
              </w:rPr>
              <w:t>70</w:t>
            </w:r>
          </w:p>
        </w:tc>
      </w:tr>
      <w:tr w14:paraId="35C6A782">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B165CB">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405B8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6A65DC">
            <w:pPr>
              <w:widowControl/>
              <w:jc w:val="center"/>
              <w:textAlignment w:val="center"/>
              <w:rPr>
                <w:rFonts w:ascii="宋体" w:hAnsi="宋体" w:cs="宋体"/>
                <w:color w:val="000000"/>
                <w:sz w:val="24"/>
              </w:rPr>
            </w:pPr>
            <w:r>
              <w:rPr>
                <w:rFonts w:hint="eastAsia" w:ascii="宋体" w:hAnsi="宋体" w:cs="宋体"/>
                <w:color w:val="000000"/>
                <w:sz w:val="24"/>
              </w:rPr>
              <w:t>70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6FA07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4CAC9">
            <w:pPr>
              <w:widowControl/>
              <w:jc w:val="center"/>
              <w:textAlignment w:val="center"/>
              <w:rPr>
                <w:rFonts w:ascii="宋体" w:hAnsi="宋体" w:cs="宋体"/>
                <w:color w:val="000000"/>
                <w:sz w:val="24"/>
              </w:rPr>
            </w:pPr>
            <w:r>
              <w:rPr>
                <w:rFonts w:hint="eastAsia" w:ascii="宋体" w:hAnsi="宋体" w:cs="宋体"/>
                <w:color w:val="000000"/>
                <w:sz w:val="24"/>
              </w:rPr>
              <w:t>70</w:t>
            </w:r>
          </w:p>
        </w:tc>
      </w:tr>
      <w:tr w14:paraId="79EBEBC6">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E35AA3">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559521">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8074C3">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F19FA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6B9C92">
            <w:pPr>
              <w:jc w:val="center"/>
              <w:rPr>
                <w:rFonts w:ascii="宋体" w:hAnsi="宋体" w:cs="宋体"/>
                <w:color w:val="000000"/>
                <w:sz w:val="24"/>
              </w:rPr>
            </w:pPr>
          </w:p>
        </w:tc>
      </w:tr>
      <w:tr w14:paraId="0943D92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37AF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6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0D214A">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D29A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05ABDF7">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A97D22">
            <w:pPr>
              <w:widowControl/>
              <w:jc w:val="left"/>
              <w:rPr>
                <w:rFonts w:ascii="宋体" w:hAnsi="宋体" w:cs="宋体"/>
                <w:color w:val="000000"/>
                <w:sz w:val="24"/>
              </w:rPr>
            </w:pPr>
          </w:p>
        </w:tc>
        <w:tc>
          <w:tcPr>
            <w:tcW w:w="476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FCC310">
            <w:pPr>
              <w:widowControl/>
              <w:jc w:val="center"/>
              <w:textAlignment w:val="center"/>
              <w:rPr>
                <w:rFonts w:ascii="宋体" w:hAnsi="宋体" w:cs="宋体"/>
                <w:color w:val="000000"/>
                <w:sz w:val="24"/>
              </w:rPr>
            </w:pPr>
            <w:r>
              <w:rPr>
                <w:rFonts w:hint="eastAsia" w:ascii="宋体" w:hAnsi="宋体" w:cs="宋体"/>
                <w:color w:val="000000"/>
                <w:sz w:val="24"/>
              </w:rPr>
              <w:t>按照《四川省国土资源厅办公室关于做好第三次全国土地调查筹备工作的通知》（川国土资办函﹝2017﹞108号）做好我区第三次全国土地调查工作。</w:t>
            </w:r>
          </w:p>
        </w:tc>
        <w:tc>
          <w:tcPr>
            <w:tcW w:w="4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0D41EC">
            <w:pPr>
              <w:widowControl/>
              <w:jc w:val="center"/>
              <w:textAlignment w:val="center"/>
              <w:rPr>
                <w:rFonts w:ascii="宋体" w:hAnsi="宋体" w:cs="宋体"/>
                <w:color w:val="000000"/>
                <w:sz w:val="24"/>
              </w:rPr>
            </w:pPr>
            <w:r>
              <w:rPr>
                <w:rFonts w:hint="eastAsia" w:ascii="宋体" w:hAnsi="宋体" w:cs="宋体"/>
                <w:color w:val="000000"/>
                <w:sz w:val="24"/>
              </w:rPr>
              <w:t>按照《四川省国土资源厅办公室关于做好第三次全国土地调查筹备工作的通知》（川国土资办函﹝2017﹞108号）做好我区第三次全国土地调查工作。</w:t>
            </w:r>
          </w:p>
        </w:tc>
      </w:tr>
      <w:tr w14:paraId="55C44657">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8014F9">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07BDB">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10DA19">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843E5C">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F42E4">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55E33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5F0687B">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0AC4F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68E2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BF319">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W w:w="6680" w:type="dxa"/>
              <w:tblInd w:w="0" w:type="dxa"/>
              <w:tblLayout w:type="fixed"/>
              <w:tblCellMar>
                <w:top w:w="0" w:type="dxa"/>
                <w:left w:w="108" w:type="dxa"/>
                <w:bottom w:w="0" w:type="dxa"/>
                <w:right w:w="108" w:type="dxa"/>
              </w:tblCellMar>
            </w:tblPr>
            <w:tblGrid>
              <w:gridCol w:w="3000"/>
              <w:gridCol w:w="3680"/>
            </w:tblGrid>
            <w:tr w14:paraId="3D5D0B2F">
              <w:tblPrEx>
                <w:tblCellMar>
                  <w:top w:w="0" w:type="dxa"/>
                  <w:left w:w="108" w:type="dxa"/>
                  <w:bottom w:w="0" w:type="dxa"/>
                  <w:right w:w="108" w:type="dxa"/>
                </w:tblCellMar>
              </w:tblPrEx>
              <w:trPr>
                <w:trHeight w:val="840" w:hRule="atLeast"/>
              </w:trPr>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B5398E1">
                  <w:pPr>
                    <w:jc w:val="left"/>
                    <w:rPr>
                      <w:rFonts w:ascii="宋体" w:hAnsi="宋体" w:cs="宋体"/>
                      <w:szCs w:val="21"/>
                    </w:rPr>
                  </w:pPr>
                  <w:r>
                    <w:rPr>
                      <w:rFonts w:hint="eastAsia"/>
                      <w:sz w:val="18"/>
                      <w:szCs w:val="21"/>
                    </w:rPr>
                    <w:t xml:space="preserve"> 第三次土地调查范围</w:t>
                  </w:r>
                </w:p>
              </w:tc>
              <w:tc>
                <w:tcPr>
                  <w:tcW w:w="3680" w:type="dxa"/>
                  <w:tcBorders>
                    <w:top w:val="single" w:color="auto" w:sz="4" w:space="0"/>
                    <w:left w:val="nil"/>
                    <w:bottom w:val="single" w:color="auto" w:sz="4" w:space="0"/>
                    <w:right w:val="single" w:color="auto" w:sz="4" w:space="0"/>
                  </w:tcBorders>
                  <w:shd w:val="clear" w:color="auto" w:fill="auto"/>
                  <w:vAlign w:val="center"/>
                </w:tcPr>
                <w:p w14:paraId="3800CE13">
                  <w:pPr>
                    <w:widowControl/>
                    <w:jc w:val="left"/>
                    <w:rPr>
                      <w:rFonts w:ascii="宋体" w:hAnsi="宋体" w:cs="宋体"/>
                      <w:kern w:val="0"/>
                      <w:szCs w:val="21"/>
                    </w:rPr>
                  </w:pPr>
                  <w:r>
                    <w:rPr>
                      <w:rFonts w:hint="eastAsia" w:ascii="宋体" w:hAnsi="宋体" w:cs="宋体"/>
                      <w:kern w:val="0"/>
                      <w:szCs w:val="21"/>
                    </w:rPr>
                    <w:t>7项</w:t>
                  </w:r>
                </w:p>
              </w:tc>
            </w:tr>
          </w:tbl>
          <w:p w14:paraId="78DDB7CD">
            <w:pPr>
              <w:widowControl/>
              <w:jc w:val="left"/>
              <w:textAlignment w:val="center"/>
              <w:rPr>
                <w:rFonts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W w:w="3680" w:type="dxa"/>
              <w:tblInd w:w="0" w:type="dxa"/>
              <w:tblLayout w:type="fixed"/>
              <w:tblCellMar>
                <w:top w:w="0" w:type="dxa"/>
                <w:left w:w="108" w:type="dxa"/>
                <w:bottom w:w="0" w:type="dxa"/>
                <w:right w:w="108" w:type="dxa"/>
              </w:tblCellMar>
            </w:tblPr>
            <w:tblGrid>
              <w:gridCol w:w="3680"/>
            </w:tblGrid>
            <w:tr w14:paraId="65337344">
              <w:tblPrEx>
                <w:tblCellMar>
                  <w:top w:w="0" w:type="dxa"/>
                  <w:left w:w="108" w:type="dxa"/>
                  <w:bottom w:w="0" w:type="dxa"/>
                  <w:right w:w="108" w:type="dxa"/>
                </w:tblCellMar>
              </w:tblPrEx>
              <w:trPr>
                <w:trHeight w:val="840" w:hRule="atLeast"/>
              </w:trPr>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14:paraId="12743514">
                  <w:pPr>
                    <w:jc w:val="left"/>
                    <w:rPr>
                      <w:rFonts w:ascii="宋体" w:hAnsi="宋体" w:cs="宋体"/>
                      <w:szCs w:val="21"/>
                    </w:rPr>
                  </w:pPr>
                  <w:r>
                    <w:rPr>
                      <w:rFonts w:hint="eastAsia"/>
                      <w:sz w:val="18"/>
                      <w:szCs w:val="21"/>
                    </w:rPr>
                    <w:t>高新区80平方公里全覆盖</w:t>
                  </w:r>
                </w:p>
              </w:tc>
            </w:tr>
          </w:tbl>
          <w:p w14:paraId="428632E4">
            <w:pPr>
              <w:widowControl/>
              <w:jc w:val="left"/>
              <w:textAlignment w:val="center"/>
              <w:rPr>
                <w:rFonts w:ascii="宋体" w:hAnsi="宋体" w:cs="宋体"/>
                <w:color w:val="000000"/>
                <w:szCs w:val="21"/>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W w:w="3680" w:type="dxa"/>
              <w:tblInd w:w="0" w:type="dxa"/>
              <w:tblLayout w:type="fixed"/>
              <w:tblCellMar>
                <w:top w:w="0" w:type="dxa"/>
                <w:left w:w="108" w:type="dxa"/>
                <w:bottom w:w="0" w:type="dxa"/>
                <w:right w:w="108" w:type="dxa"/>
              </w:tblCellMar>
            </w:tblPr>
            <w:tblGrid>
              <w:gridCol w:w="3680"/>
            </w:tblGrid>
            <w:tr w14:paraId="50620014">
              <w:tblPrEx>
                <w:tblCellMar>
                  <w:top w:w="0" w:type="dxa"/>
                  <w:left w:w="108" w:type="dxa"/>
                  <w:bottom w:w="0" w:type="dxa"/>
                  <w:right w:w="108" w:type="dxa"/>
                </w:tblCellMar>
              </w:tblPrEx>
              <w:trPr>
                <w:trHeight w:val="855" w:hRule="atLeast"/>
              </w:trPr>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14:paraId="4B5FBA14">
                  <w:pPr>
                    <w:jc w:val="left"/>
                    <w:rPr>
                      <w:rFonts w:ascii="宋体" w:hAnsi="宋体" w:cs="宋体"/>
                      <w:szCs w:val="21"/>
                    </w:rPr>
                  </w:pPr>
                  <w:r>
                    <w:rPr>
                      <w:rFonts w:hint="eastAsia"/>
                      <w:sz w:val="18"/>
                      <w:szCs w:val="21"/>
                    </w:rPr>
                    <w:t>高新区80平方公里全覆盖</w:t>
                  </w:r>
                </w:p>
              </w:tc>
            </w:tr>
          </w:tbl>
          <w:p w14:paraId="48DB7746">
            <w:pPr>
              <w:widowControl/>
              <w:jc w:val="left"/>
              <w:textAlignment w:val="center"/>
              <w:rPr>
                <w:rFonts w:ascii="宋体" w:hAnsi="宋体" w:cs="宋体"/>
                <w:color w:val="000000"/>
                <w:szCs w:val="21"/>
              </w:rPr>
            </w:pPr>
          </w:p>
        </w:tc>
      </w:tr>
      <w:tr w14:paraId="5F29970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937A5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99D5E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AC6DE0">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pPr w:leftFromText="180" w:rightFromText="180" w:vertAnchor="text" w:horzAnchor="page" w:tblpX="1054" w:tblpY="-450"/>
              <w:tblOverlap w:val="never"/>
              <w:tblW w:w="2384" w:type="dxa"/>
              <w:tblInd w:w="0" w:type="dxa"/>
              <w:tblLayout w:type="fixed"/>
              <w:tblCellMar>
                <w:top w:w="0" w:type="dxa"/>
                <w:left w:w="108" w:type="dxa"/>
                <w:bottom w:w="0" w:type="dxa"/>
                <w:right w:w="108" w:type="dxa"/>
              </w:tblCellMar>
            </w:tblPr>
            <w:tblGrid>
              <w:gridCol w:w="2384"/>
            </w:tblGrid>
            <w:tr w14:paraId="29750C71">
              <w:tblPrEx>
                <w:tblCellMar>
                  <w:top w:w="0" w:type="dxa"/>
                  <w:left w:w="108" w:type="dxa"/>
                  <w:bottom w:w="0" w:type="dxa"/>
                  <w:right w:w="108" w:type="dxa"/>
                </w:tblCellMar>
              </w:tblPrEx>
              <w:trPr>
                <w:trHeight w:val="576" w:hRule="atLeast"/>
              </w:trPr>
              <w:tc>
                <w:tcPr>
                  <w:tcW w:w="2384" w:type="dxa"/>
                  <w:tcBorders>
                    <w:top w:val="single" w:color="auto" w:sz="4" w:space="0"/>
                    <w:left w:val="single" w:color="auto" w:sz="4" w:space="0"/>
                    <w:bottom w:val="single" w:color="auto" w:sz="4" w:space="0"/>
                    <w:right w:val="single" w:color="auto" w:sz="4" w:space="0"/>
                  </w:tcBorders>
                  <w:shd w:val="clear" w:color="auto" w:fill="auto"/>
                  <w:vAlign w:val="center"/>
                </w:tcPr>
                <w:p w14:paraId="16DE81C1">
                  <w:pPr>
                    <w:widowControl/>
                    <w:rPr>
                      <w:rFonts w:ascii="宋体" w:hAnsi="宋体" w:cs="宋体"/>
                      <w:kern w:val="0"/>
                      <w:sz w:val="22"/>
                      <w:szCs w:val="22"/>
                    </w:rPr>
                  </w:pPr>
                  <w:r>
                    <w:rPr>
                      <w:rFonts w:hint="eastAsia" w:ascii="宋体" w:hAnsi="宋体" w:cs="宋体"/>
                      <w:kern w:val="0"/>
                      <w:sz w:val="22"/>
                      <w:szCs w:val="22"/>
                    </w:rPr>
                    <w:t>调查结果质量</w:t>
                  </w:r>
                </w:p>
              </w:tc>
            </w:tr>
            <w:tr w14:paraId="39763626">
              <w:tblPrEx>
                <w:tblCellMar>
                  <w:top w:w="0" w:type="dxa"/>
                  <w:left w:w="108" w:type="dxa"/>
                  <w:bottom w:w="0" w:type="dxa"/>
                  <w:right w:w="108" w:type="dxa"/>
                </w:tblCellMar>
              </w:tblPrEx>
              <w:trPr>
                <w:trHeight w:val="727" w:hRule="atLeast"/>
              </w:trPr>
              <w:tc>
                <w:tcPr>
                  <w:tcW w:w="2384" w:type="dxa"/>
                  <w:tcBorders>
                    <w:top w:val="single" w:color="auto" w:sz="4" w:space="0"/>
                    <w:left w:val="single" w:color="auto" w:sz="4" w:space="0"/>
                    <w:bottom w:val="single" w:color="auto" w:sz="4" w:space="0"/>
                    <w:right w:val="single" w:color="auto" w:sz="4" w:space="0"/>
                  </w:tcBorders>
                  <w:shd w:val="clear" w:color="auto" w:fill="auto"/>
                  <w:vAlign w:val="center"/>
                </w:tcPr>
                <w:p w14:paraId="6AE3075E">
                  <w:pPr>
                    <w:widowControl/>
                    <w:jc w:val="left"/>
                    <w:rPr>
                      <w:rFonts w:ascii="宋体" w:hAnsi="宋体" w:cs="宋体"/>
                      <w:kern w:val="0"/>
                      <w:sz w:val="22"/>
                      <w:szCs w:val="22"/>
                    </w:rPr>
                  </w:pPr>
                  <w:r>
                    <w:rPr>
                      <w:rFonts w:hint="eastAsia" w:ascii="宋体" w:hAnsi="宋体" w:cs="宋体"/>
                      <w:kern w:val="0"/>
                      <w:sz w:val="22"/>
                      <w:szCs w:val="22"/>
                    </w:rPr>
                    <w:t>第三次土地调查方案</w:t>
                  </w:r>
                </w:p>
              </w:tc>
            </w:tr>
          </w:tbl>
          <w:p w14:paraId="196C6D9F">
            <w:pPr>
              <w:widowControl/>
              <w:jc w:val="center"/>
              <w:textAlignment w:val="center"/>
              <w:rPr>
                <w:rFonts w:ascii="宋体" w:hAnsi="宋体" w:cs="宋体"/>
                <w:color w:val="000000"/>
                <w:sz w:val="22"/>
                <w:szCs w:val="22"/>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tbl>
            <w:tblPr>
              <w:tblStyle w:val="10"/>
              <w:tblW w:w="2300" w:type="dxa"/>
              <w:tblInd w:w="0" w:type="dxa"/>
              <w:tblLayout w:type="fixed"/>
              <w:tblCellMar>
                <w:top w:w="0" w:type="dxa"/>
                <w:left w:w="108" w:type="dxa"/>
                <w:bottom w:w="0" w:type="dxa"/>
                <w:right w:w="108" w:type="dxa"/>
              </w:tblCellMar>
            </w:tblPr>
            <w:tblGrid>
              <w:gridCol w:w="2300"/>
            </w:tblGrid>
            <w:tr w14:paraId="41836EA2">
              <w:tblPrEx>
                <w:tblCellMar>
                  <w:top w:w="0" w:type="dxa"/>
                  <w:left w:w="108" w:type="dxa"/>
                  <w:bottom w:w="0" w:type="dxa"/>
                  <w:right w:w="108" w:type="dxa"/>
                </w:tblCellMar>
              </w:tblPrEx>
              <w:trPr>
                <w:trHeight w:val="545" w:hRule="atLeast"/>
              </w:trPr>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14:paraId="148FCEE4">
                  <w:pPr>
                    <w:widowControl/>
                    <w:rPr>
                      <w:rFonts w:ascii="宋体" w:hAnsi="宋体" w:cs="宋体"/>
                      <w:kern w:val="0"/>
                      <w:sz w:val="20"/>
                      <w:szCs w:val="20"/>
                    </w:rPr>
                  </w:pPr>
                  <w:r>
                    <w:rPr>
                      <w:rFonts w:hint="eastAsia" w:ascii="宋体" w:hAnsi="宋体" w:cs="宋体"/>
                      <w:kern w:val="0"/>
                      <w:sz w:val="20"/>
                      <w:szCs w:val="20"/>
                    </w:rPr>
                    <w:t>确保调查结果完整、准确</w:t>
                  </w:r>
                </w:p>
              </w:tc>
            </w:tr>
            <w:tr w14:paraId="7EABCA15">
              <w:tblPrEx>
                <w:tblCellMar>
                  <w:top w:w="0" w:type="dxa"/>
                  <w:left w:w="108" w:type="dxa"/>
                  <w:bottom w:w="0" w:type="dxa"/>
                  <w:right w:w="108" w:type="dxa"/>
                </w:tblCellMar>
              </w:tblPrEx>
              <w:trPr>
                <w:trHeight w:val="684" w:hRule="atLeast"/>
              </w:trPr>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14:paraId="7BD339EB">
                  <w:pPr>
                    <w:widowControl/>
                    <w:rPr>
                      <w:rFonts w:ascii="宋体" w:hAnsi="宋体" w:cs="宋体"/>
                      <w:kern w:val="0"/>
                      <w:sz w:val="20"/>
                      <w:szCs w:val="20"/>
                    </w:rPr>
                  </w:pPr>
                  <w:r>
                    <w:rPr>
                      <w:rFonts w:hint="eastAsia" w:ascii="宋体" w:hAnsi="宋体" w:cs="宋体"/>
                      <w:kern w:val="0"/>
                      <w:sz w:val="20"/>
                      <w:szCs w:val="20"/>
                    </w:rPr>
                    <w:t>专业中介机构出具调查报告</w:t>
                  </w:r>
                </w:p>
              </w:tc>
            </w:tr>
          </w:tbl>
          <w:p w14:paraId="3B15F8D9">
            <w:pPr>
              <w:widowControl/>
              <w:textAlignment w:val="center"/>
              <w:rPr>
                <w:rFonts w:ascii="宋体" w:hAnsi="宋体" w:cs="宋体"/>
                <w:color w:val="000000"/>
                <w:sz w:val="20"/>
                <w:szCs w:val="20"/>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tbl>
            <w:tblPr>
              <w:tblStyle w:val="10"/>
              <w:tblW w:w="2320" w:type="dxa"/>
              <w:tblInd w:w="0" w:type="dxa"/>
              <w:tblLayout w:type="fixed"/>
              <w:tblCellMar>
                <w:top w:w="0" w:type="dxa"/>
                <w:left w:w="108" w:type="dxa"/>
                <w:bottom w:w="0" w:type="dxa"/>
                <w:right w:w="108" w:type="dxa"/>
              </w:tblCellMar>
            </w:tblPr>
            <w:tblGrid>
              <w:gridCol w:w="2320"/>
            </w:tblGrid>
            <w:tr w14:paraId="11ACEE18">
              <w:tblPrEx>
                <w:tblCellMar>
                  <w:top w:w="0" w:type="dxa"/>
                  <w:left w:w="108" w:type="dxa"/>
                  <w:bottom w:w="0" w:type="dxa"/>
                  <w:right w:w="108" w:type="dxa"/>
                </w:tblCellMar>
              </w:tblPrEx>
              <w:trPr>
                <w:trHeight w:val="56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3C2AC9EB">
                  <w:pPr>
                    <w:widowControl/>
                    <w:rPr>
                      <w:rFonts w:ascii="宋体" w:hAnsi="宋体" w:cs="宋体"/>
                      <w:kern w:val="0"/>
                      <w:sz w:val="20"/>
                      <w:szCs w:val="20"/>
                    </w:rPr>
                  </w:pPr>
                  <w:r>
                    <w:rPr>
                      <w:rFonts w:hint="eastAsia" w:ascii="宋体" w:hAnsi="宋体" w:cs="宋体"/>
                      <w:kern w:val="0"/>
                      <w:sz w:val="20"/>
                      <w:szCs w:val="20"/>
                    </w:rPr>
                    <w:t>确保调查结果完整、准确</w:t>
                  </w:r>
                </w:p>
              </w:tc>
            </w:tr>
            <w:tr w14:paraId="2028929C">
              <w:tblPrEx>
                <w:tblCellMar>
                  <w:top w:w="0" w:type="dxa"/>
                  <w:left w:w="108" w:type="dxa"/>
                  <w:bottom w:w="0" w:type="dxa"/>
                  <w:right w:w="108" w:type="dxa"/>
                </w:tblCellMar>
              </w:tblPrEx>
              <w:trPr>
                <w:trHeight w:val="56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6B70AAAE">
                  <w:pPr>
                    <w:widowControl/>
                    <w:rPr>
                      <w:rFonts w:ascii="宋体" w:hAnsi="宋体" w:cs="宋体"/>
                      <w:kern w:val="0"/>
                      <w:sz w:val="20"/>
                      <w:szCs w:val="20"/>
                    </w:rPr>
                  </w:pPr>
                  <w:r>
                    <w:rPr>
                      <w:rFonts w:hint="eastAsia" w:ascii="宋体" w:hAnsi="宋体" w:cs="宋体"/>
                      <w:kern w:val="0"/>
                      <w:sz w:val="20"/>
                      <w:szCs w:val="20"/>
                    </w:rPr>
                    <w:t>专业中介机构出具调查报告</w:t>
                  </w:r>
                </w:p>
              </w:tc>
            </w:tr>
          </w:tbl>
          <w:p w14:paraId="2CC92DC3">
            <w:pPr>
              <w:widowControl/>
              <w:textAlignment w:val="center"/>
              <w:rPr>
                <w:rFonts w:ascii="宋体" w:hAnsi="宋体" w:cs="宋体"/>
                <w:color w:val="000000"/>
                <w:sz w:val="20"/>
                <w:szCs w:val="20"/>
              </w:rPr>
            </w:pPr>
          </w:p>
        </w:tc>
      </w:tr>
      <w:tr w14:paraId="68C5EB7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930EC7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D3E0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FCAE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89D27A">
            <w:pPr>
              <w:jc w:val="center"/>
              <w:rPr>
                <w:rFonts w:ascii="宋体" w:hAnsi="宋体" w:cs="宋体"/>
                <w:sz w:val="24"/>
              </w:rPr>
            </w:pPr>
            <w:r>
              <w:rPr>
                <w:rFonts w:hint="eastAsia"/>
              </w:rPr>
              <w:t>指标1：完成时间</w:t>
            </w:r>
          </w:p>
          <w:p w14:paraId="0C793BEF">
            <w:pPr>
              <w:widowControl/>
              <w:jc w:val="center"/>
              <w:textAlignment w:val="cente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6BB9F9">
            <w:pPr>
              <w:widowControl/>
              <w:jc w:val="center"/>
              <w:textAlignment w:val="center"/>
              <w:rPr>
                <w:rFonts w:ascii="宋体" w:hAnsi="宋体" w:cs="宋体"/>
                <w:color w:val="000000"/>
                <w:sz w:val="24"/>
              </w:rPr>
            </w:pPr>
            <w:r>
              <w:rPr>
                <w:rFonts w:hint="eastAsia" w:ascii="宋体" w:hAnsi="宋体" w:cs="宋体"/>
                <w:color w:val="000000"/>
                <w:sz w:val="24"/>
              </w:rPr>
              <w:t>按四川省国土资源厅要求时间</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178D3D">
            <w:pPr>
              <w:widowControl/>
              <w:jc w:val="center"/>
              <w:textAlignment w:val="center"/>
              <w:rPr>
                <w:rFonts w:ascii="宋体" w:hAnsi="宋体" w:cs="宋体"/>
                <w:color w:val="000000"/>
                <w:sz w:val="24"/>
              </w:rPr>
            </w:pPr>
            <w:r>
              <w:rPr>
                <w:rFonts w:hint="eastAsia" w:ascii="宋体" w:hAnsi="宋体" w:cs="宋体"/>
                <w:color w:val="000000"/>
                <w:sz w:val="24"/>
              </w:rPr>
              <w:t>按四川省国土资源厅要求时间</w:t>
            </w:r>
          </w:p>
        </w:tc>
      </w:tr>
      <w:tr w14:paraId="0D63292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726BB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708C21">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764DE5">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A212C4">
            <w:pPr>
              <w:jc w:val="center"/>
              <w:rPr>
                <w:rFonts w:ascii="宋体" w:hAnsi="宋体" w:cs="宋体"/>
                <w:sz w:val="24"/>
              </w:rPr>
            </w:pPr>
            <w:r>
              <w:rPr>
                <w:rFonts w:hint="eastAsia"/>
              </w:rPr>
              <w:t>指标1：第三次土地调查</w:t>
            </w:r>
          </w:p>
          <w:p w14:paraId="271F5097">
            <w:pPr>
              <w:widowControl/>
              <w:jc w:val="center"/>
              <w:textAlignment w:val="cente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78B91">
            <w:pPr>
              <w:widowControl/>
              <w:jc w:val="center"/>
              <w:textAlignment w:val="center"/>
              <w:rPr>
                <w:rFonts w:ascii="宋体" w:hAnsi="宋体" w:cs="宋体"/>
                <w:color w:val="000000"/>
                <w:sz w:val="24"/>
              </w:rPr>
            </w:pPr>
            <w:r>
              <w:rPr>
                <w:rFonts w:hint="eastAsia"/>
              </w:rPr>
              <w:t>按行业标准范围执行</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CE34B4">
            <w:pPr>
              <w:widowControl/>
              <w:jc w:val="center"/>
              <w:textAlignment w:val="center"/>
              <w:rPr>
                <w:rFonts w:ascii="宋体" w:hAnsi="宋体" w:cs="宋体"/>
                <w:color w:val="000000"/>
                <w:sz w:val="24"/>
              </w:rPr>
            </w:pPr>
            <w:r>
              <w:rPr>
                <w:rFonts w:hint="eastAsia" w:ascii="宋体" w:hAnsi="宋体" w:cs="宋体"/>
                <w:color w:val="000000"/>
                <w:sz w:val="24"/>
              </w:rPr>
              <w:t>预算完成100%</w:t>
            </w:r>
          </w:p>
        </w:tc>
      </w:tr>
      <w:tr w14:paraId="7187C9C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826E01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6D16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W w:w="1620" w:type="dxa"/>
              <w:tblInd w:w="0" w:type="dxa"/>
              <w:tblLayout w:type="fixed"/>
              <w:tblCellMar>
                <w:top w:w="0" w:type="dxa"/>
                <w:left w:w="108" w:type="dxa"/>
                <w:bottom w:w="0" w:type="dxa"/>
                <w:right w:w="108" w:type="dxa"/>
              </w:tblCellMar>
            </w:tblPr>
            <w:tblGrid>
              <w:gridCol w:w="1620"/>
            </w:tblGrid>
            <w:tr w14:paraId="3794A206">
              <w:tblPrEx>
                <w:tblCellMar>
                  <w:top w:w="0" w:type="dxa"/>
                  <w:left w:w="108" w:type="dxa"/>
                  <w:bottom w:w="0" w:type="dxa"/>
                  <w:right w:w="108" w:type="dxa"/>
                </w:tblCellMar>
              </w:tblPrEx>
              <w:trPr>
                <w:trHeight w:val="619" w:hRule="atLeast"/>
              </w:trPr>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79A18">
                  <w:pPr>
                    <w:widowControl/>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r>
            <w:tr w14:paraId="544027F4">
              <w:tblPrEx>
                <w:tblCellMar>
                  <w:top w:w="0" w:type="dxa"/>
                  <w:left w:w="108" w:type="dxa"/>
                  <w:bottom w:w="0" w:type="dxa"/>
                  <w:right w:w="108" w:type="dxa"/>
                </w:tblCellMar>
              </w:tblPrEx>
              <w:trPr>
                <w:trHeight w:val="43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3855CC20">
                  <w:pPr>
                    <w:widowControl/>
                    <w:jc w:val="left"/>
                    <w:rPr>
                      <w:rFonts w:ascii="宋体" w:hAnsi="宋体" w:cs="宋体"/>
                      <w:kern w:val="0"/>
                      <w:sz w:val="24"/>
                    </w:rPr>
                  </w:pPr>
                </w:p>
              </w:tc>
            </w:tr>
            <w:tr w14:paraId="4ADFD4E4">
              <w:tblPrEx>
                <w:tblCellMar>
                  <w:top w:w="0" w:type="dxa"/>
                  <w:left w:w="108" w:type="dxa"/>
                  <w:bottom w:w="0" w:type="dxa"/>
                  <w:right w:w="108" w:type="dxa"/>
                </w:tblCellMar>
              </w:tblPrEx>
              <w:trPr>
                <w:trHeight w:val="43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1FBA8294">
                  <w:pPr>
                    <w:widowControl/>
                    <w:jc w:val="left"/>
                    <w:rPr>
                      <w:rFonts w:ascii="宋体" w:hAnsi="宋体" w:cs="宋体"/>
                      <w:kern w:val="0"/>
                      <w:sz w:val="24"/>
                    </w:rPr>
                  </w:pPr>
                </w:p>
              </w:tc>
            </w:tr>
          </w:tbl>
          <w:p w14:paraId="13819F46">
            <w:pPr>
              <w:widowControl/>
              <w:jc w:val="center"/>
              <w:textAlignment w:val="center"/>
              <w:rPr>
                <w:rFonts w:ascii="宋体" w:hAnsi="宋体" w:cs="宋体"/>
                <w:color w:val="000000"/>
                <w:sz w:val="24"/>
              </w:rPr>
            </w:pP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EC62D8">
            <w:pPr>
              <w:jc w:val="center"/>
              <w:rPr>
                <w:rFonts w:ascii="宋体" w:hAnsi="宋体" w:cs="宋体"/>
                <w:sz w:val="24"/>
              </w:rPr>
            </w:pPr>
            <w:r>
              <w:rPr>
                <w:rFonts w:hint="eastAsia"/>
              </w:rPr>
              <w:t>指标1：第三次土地调查工作</w:t>
            </w:r>
          </w:p>
          <w:p w14:paraId="4A2DB25F">
            <w:pPr>
              <w:widowControl/>
              <w:jc w:val="center"/>
              <w:textAlignment w:val="cente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B36C28">
            <w:pPr>
              <w:widowControl/>
              <w:jc w:val="center"/>
              <w:textAlignment w:val="center"/>
              <w:rPr>
                <w:rFonts w:ascii="宋体" w:hAnsi="宋体" w:cs="宋体"/>
                <w:color w:val="000000"/>
                <w:sz w:val="24"/>
              </w:rPr>
            </w:pPr>
            <w:r>
              <w:rPr>
                <w:rFonts w:hint="eastAsia" w:ascii="宋体" w:hAnsi="宋体" w:cs="宋体"/>
                <w:color w:val="000000"/>
                <w:sz w:val="24"/>
              </w:rPr>
              <w:t>满足全区社会经济发展、生态文明建设和自然资源资产管理体制改革</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BC041F">
            <w:pPr>
              <w:widowControl/>
              <w:jc w:val="center"/>
              <w:textAlignment w:val="center"/>
              <w:rPr>
                <w:rFonts w:ascii="宋体" w:hAnsi="宋体" w:cs="宋体"/>
                <w:color w:val="000000"/>
                <w:sz w:val="24"/>
              </w:rPr>
            </w:pPr>
            <w:r>
              <w:rPr>
                <w:rFonts w:hint="eastAsia" w:ascii="宋体" w:hAnsi="宋体" w:cs="宋体"/>
                <w:color w:val="000000"/>
                <w:sz w:val="24"/>
              </w:rPr>
              <w:t>满足全区社会经济发展、生态文明建设和自然资源资产管理体制改革</w:t>
            </w:r>
          </w:p>
        </w:tc>
      </w:tr>
      <w:tr w14:paraId="4089D51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6E93A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4C82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W w:w="1620" w:type="dxa"/>
              <w:tblInd w:w="0" w:type="dxa"/>
              <w:tblLayout w:type="fixed"/>
              <w:tblCellMar>
                <w:top w:w="0" w:type="dxa"/>
                <w:left w:w="108" w:type="dxa"/>
                <w:bottom w:w="0" w:type="dxa"/>
                <w:right w:w="108" w:type="dxa"/>
              </w:tblCellMar>
            </w:tblPr>
            <w:tblGrid>
              <w:gridCol w:w="1620"/>
            </w:tblGrid>
            <w:tr w14:paraId="6560A05F">
              <w:tblPrEx>
                <w:tblCellMar>
                  <w:top w:w="0" w:type="dxa"/>
                  <w:left w:w="108" w:type="dxa"/>
                  <w:bottom w:w="0" w:type="dxa"/>
                  <w:right w:w="108" w:type="dxa"/>
                </w:tblCellMar>
              </w:tblPrEx>
              <w:trPr>
                <w:trHeight w:val="660" w:hRule="atLeast"/>
              </w:trPr>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C2C58">
                  <w:pPr>
                    <w:widowControl/>
                    <w:rPr>
                      <w:rFonts w:ascii="宋体" w:hAnsi="宋体" w:cs="宋体"/>
                      <w:kern w:val="0"/>
                      <w:sz w:val="24"/>
                    </w:rPr>
                  </w:pPr>
                  <w:r>
                    <w:rPr>
                      <w:rFonts w:hint="eastAsia" w:ascii="宋体" w:hAnsi="宋体" w:cs="宋体"/>
                      <w:kern w:val="0"/>
                      <w:sz w:val="24"/>
                    </w:rPr>
                    <w:t>生态效益</w:t>
                  </w:r>
                  <w:r>
                    <w:rPr>
                      <w:rFonts w:hint="eastAsia" w:ascii="宋体" w:hAnsi="宋体" w:cs="宋体"/>
                      <w:kern w:val="0"/>
                      <w:sz w:val="24"/>
                    </w:rPr>
                    <w:br w:type="textWrapping"/>
                  </w:r>
                  <w:r>
                    <w:rPr>
                      <w:rFonts w:hint="eastAsia" w:ascii="宋体" w:hAnsi="宋体" w:cs="宋体"/>
                      <w:kern w:val="0"/>
                      <w:sz w:val="24"/>
                    </w:rPr>
                    <w:t>指标</w:t>
                  </w:r>
                </w:p>
              </w:tc>
            </w:tr>
            <w:tr w14:paraId="712EF800">
              <w:tblPrEx>
                <w:tblCellMar>
                  <w:top w:w="0" w:type="dxa"/>
                  <w:left w:w="108" w:type="dxa"/>
                  <w:bottom w:w="0" w:type="dxa"/>
                  <w:right w:w="108" w:type="dxa"/>
                </w:tblCellMar>
              </w:tblPrEx>
              <w:trPr>
                <w:trHeight w:val="43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2B4035CA">
                  <w:pPr>
                    <w:widowControl/>
                    <w:jc w:val="left"/>
                    <w:rPr>
                      <w:rFonts w:ascii="宋体" w:hAnsi="宋体" w:cs="宋体"/>
                      <w:kern w:val="0"/>
                      <w:sz w:val="24"/>
                    </w:rPr>
                  </w:pPr>
                </w:p>
              </w:tc>
            </w:tr>
            <w:tr w14:paraId="01CEB49F">
              <w:tblPrEx>
                <w:tblCellMar>
                  <w:top w:w="0" w:type="dxa"/>
                  <w:left w:w="108" w:type="dxa"/>
                  <w:bottom w:w="0" w:type="dxa"/>
                  <w:right w:w="108" w:type="dxa"/>
                </w:tblCellMar>
              </w:tblPrEx>
              <w:trPr>
                <w:trHeight w:val="43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22F5191E">
                  <w:pPr>
                    <w:widowControl/>
                    <w:jc w:val="left"/>
                    <w:rPr>
                      <w:rFonts w:ascii="宋体" w:hAnsi="宋体" w:cs="宋体"/>
                      <w:kern w:val="0"/>
                      <w:sz w:val="24"/>
                    </w:rPr>
                  </w:pPr>
                </w:p>
              </w:tc>
            </w:tr>
          </w:tbl>
          <w:p w14:paraId="6AF2C629">
            <w:pPr>
              <w:widowControl/>
              <w:jc w:val="center"/>
              <w:textAlignment w:val="center"/>
              <w:rPr>
                <w:rFonts w:ascii="宋体" w:hAnsi="宋体" w:cs="宋体"/>
                <w:color w:val="000000"/>
                <w:sz w:val="24"/>
              </w:rPr>
            </w:pP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6287F0">
            <w:pPr>
              <w:jc w:val="center"/>
              <w:rPr>
                <w:rFonts w:ascii="宋体" w:hAnsi="宋体" w:cs="宋体"/>
                <w:sz w:val="24"/>
              </w:rPr>
            </w:pPr>
            <w:r>
              <w:rPr>
                <w:rFonts w:hint="eastAsia"/>
              </w:rPr>
              <w:t>指标1：土地资源和现状</w:t>
            </w:r>
          </w:p>
          <w:p w14:paraId="3FA45B1B">
            <w:pPr>
              <w:widowControl/>
              <w:jc w:val="center"/>
              <w:textAlignment w:val="cente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5A8A95">
            <w:pPr>
              <w:widowControl/>
              <w:jc w:val="center"/>
              <w:textAlignment w:val="center"/>
              <w:rPr>
                <w:rFonts w:ascii="宋体" w:hAnsi="宋体" w:cs="宋体"/>
                <w:color w:val="000000"/>
                <w:sz w:val="24"/>
              </w:rPr>
            </w:pPr>
            <w:r>
              <w:rPr>
                <w:rFonts w:hint="eastAsia"/>
              </w:rPr>
              <w:t>土地资源和现状持续改善</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FCCA14">
            <w:pPr>
              <w:widowControl/>
              <w:jc w:val="center"/>
              <w:textAlignment w:val="center"/>
              <w:rPr>
                <w:rFonts w:ascii="宋体" w:hAnsi="宋体" w:cs="宋体"/>
                <w:color w:val="000000"/>
                <w:sz w:val="24"/>
              </w:rPr>
            </w:pPr>
            <w:r>
              <w:rPr>
                <w:rFonts w:hint="eastAsia"/>
              </w:rPr>
              <w:t>土地资源和现状持续改善</w:t>
            </w:r>
          </w:p>
        </w:tc>
      </w:tr>
      <w:tr w14:paraId="5FA4899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52679A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6D1AC7">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0"/>
              <w:tblW w:w="1620" w:type="dxa"/>
              <w:tblInd w:w="0" w:type="dxa"/>
              <w:tblLayout w:type="fixed"/>
              <w:tblCellMar>
                <w:top w:w="0" w:type="dxa"/>
                <w:left w:w="108" w:type="dxa"/>
                <w:bottom w:w="0" w:type="dxa"/>
                <w:right w:w="108" w:type="dxa"/>
              </w:tblCellMar>
            </w:tblPr>
            <w:tblGrid>
              <w:gridCol w:w="1620"/>
            </w:tblGrid>
            <w:tr w14:paraId="2DAEDDAB">
              <w:tblPrEx>
                <w:tblCellMar>
                  <w:top w:w="0" w:type="dxa"/>
                  <w:left w:w="108" w:type="dxa"/>
                  <w:bottom w:w="0" w:type="dxa"/>
                  <w:right w:w="108" w:type="dxa"/>
                </w:tblCellMar>
              </w:tblPrEx>
              <w:trPr>
                <w:trHeight w:val="435" w:hRule="atLeast"/>
              </w:trPr>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E6BEB5">
                  <w:pPr>
                    <w:widowControl/>
                    <w:rPr>
                      <w:rFonts w:ascii="宋体" w:hAnsi="宋体" w:cs="宋体"/>
                      <w:kern w:val="0"/>
                      <w:sz w:val="24"/>
                    </w:rPr>
                  </w:pPr>
                  <w:r>
                    <w:rPr>
                      <w:rFonts w:hint="eastAsia" w:ascii="宋体" w:hAnsi="宋体" w:cs="宋体"/>
                      <w:kern w:val="0"/>
                      <w:sz w:val="24"/>
                    </w:rPr>
                    <w:t>可持续影</w:t>
                  </w:r>
                  <w:r>
                    <w:rPr>
                      <w:rFonts w:hint="eastAsia" w:ascii="宋体" w:hAnsi="宋体" w:cs="宋体"/>
                      <w:kern w:val="0"/>
                      <w:sz w:val="24"/>
                    </w:rPr>
                    <w:br w:type="textWrapping"/>
                  </w:r>
                  <w:r>
                    <w:rPr>
                      <w:rFonts w:hint="eastAsia" w:ascii="宋体" w:hAnsi="宋体" w:cs="宋体"/>
                      <w:kern w:val="0"/>
                      <w:sz w:val="24"/>
                    </w:rPr>
                    <w:t>响指标</w:t>
                  </w:r>
                </w:p>
              </w:tc>
            </w:tr>
            <w:tr w14:paraId="02BEAA5C">
              <w:tblPrEx>
                <w:tblCellMar>
                  <w:top w:w="0" w:type="dxa"/>
                  <w:left w:w="108" w:type="dxa"/>
                  <w:bottom w:w="0" w:type="dxa"/>
                  <w:right w:w="108" w:type="dxa"/>
                </w:tblCellMar>
              </w:tblPrEx>
              <w:trPr>
                <w:trHeight w:val="43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78B72B0">
                  <w:pPr>
                    <w:widowControl/>
                    <w:jc w:val="left"/>
                    <w:rPr>
                      <w:rFonts w:ascii="宋体" w:hAnsi="宋体" w:cs="宋体"/>
                      <w:kern w:val="0"/>
                      <w:sz w:val="24"/>
                    </w:rPr>
                  </w:pPr>
                </w:p>
              </w:tc>
            </w:tr>
            <w:tr w14:paraId="3C70F46F">
              <w:tblPrEx>
                <w:tblCellMar>
                  <w:top w:w="0" w:type="dxa"/>
                  <w:left w:w="108" w:type="dxa"/>
                  <w:bottom w:w="0" w:type="dxa"/>
                  <w:right w:w="108" w:type="dxa"/>
                </w:tblCellMar>
              </w:tblPrEx>
              <w:trPr>
                <w:trHeight w:val="43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75FFE043">
                  <w:pPr>
                    <w:widowControl/>
                    <w:jc w:val="left"/>
                    <w:rPr>
                      <w:rFonts w:ascii="宋体" w:hAnsi="宋体" w:cs="宋体"/>
                      <w:kern w:val="0"/>
                      <w:sz w:val="24"/>
                    </w:rPr>
                  </w:pPr>
                </w:p>
              </w:tc>
            </w:tr>
          </w:tbl>
          <w:p w14:paraId="4E07CE13">
            <w:pPr>
              <w:widowControl/>
              <w:jc w:val="center"/>
              <w:textAlignment w:val="center"/>
              <w:rPr>
                <w:rFonts w:ascii="宋体" w:hAnsi="宋体" w:cs="宋体"/>
                <w:color w:val="000000"/>
                <w:sz w:val="24"/>
              </w:rPr>
            </w:pP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C5CF35">
            <w:pPr>
              <w:jc w:val="center"/>
              <w:rPr>
                <w:rFonts w:ascii="宋体" w:hAnsi="宋体" w:cs="宋体"/>
                <w:sz w:val="24"/>
              </w:rPr>
            </w:pPr>
            <w:r>
              <w:rPr>
                <w:rFonts w:hint="eastAsia"/>
              </w:rPr>
              <w:t>指标1：土地资源和现状</w:t>
            </w:r>
          </w:p>
          <w:p w14:paraId="380E967A">
            <w:pPr>
              <w:widowControl/>
              <w:jc w:val="center"/>
              <w:textAlignment w:val="cente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9BAF6">
            <w:pPr>
              <w:widowControl/>
              <w:jc w:val="center"/>
              <w:textAlignment w:val="center"/>
              <w:rPr>
                <w:rFonts w:ascii="宋体" w:hAnsi="宋体" w:cs="宋体"/>
                <w:color w:val="000000"/>
                <w:sz w:val="24"/>
              </w:rPr>
            </w:pPr>
            <w:r>
              <w:rPr>
                <w:rFonts w:hint="eastAsia"/>
              </w:rPr>
              <w:t>土地资源和现状持续改善</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0C07B5">
            <w:pPr>
              <w:widowControl/>
              <w:jc w:val="center"/>
              <w:textAlignment w:val="center"/>
              <w:rPr>
                <w:rFonts w:ascii="宋体" w:hAnsi="宋体" w:cs="宋体"/>
                <w:color w:val="000000"/>
                <w:sz w:val="24"/>
              </w:rPr>
            </w:pPr>
            <w:r>
              <w:rPr>
                <w:rFonts w:hint="eastAsia"/>
              </w:rPr>
              <w:t>土地资源和现状持续改善</w:t>
            </w:r>
          </w:p>
        </w:tc>
      </w:tr>
      <w:tr w14:paraId="7B0DA3A3">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1B3D74">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6529C77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3A0DF06B">
            <w:pPr>
              <w:jc w:val="center"/>
              <w:rPr>
                <w:rFonts w:ascii="宋体" w:hAnsi="宋体" w:cs="宋体"/>
                <w:color w:val="000000"/>
                <w:sz w:val="24"/>
              </w:rPr>
            </w:pPr>
            <w:r>
              <w:rPr>
                <w:rFonts w:hint="eastAsia" w:ascii="宋体" w:hAnsi="宋体" w:cs="宋体"/>
                <w:color w:val="000000"/>
                <w:sz w:val="24"/>
              </w:rPr>
              <w:t>满意度指标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90F0E6">
            <w:pPr>
              <w:jc w:val="center"/>
              <w:rPr>
                <w:rFonts w:ascii="宋体" w:hAnsi="宋体" w:cs="宋体"/>
                <w:sz w:val="24"/>
              </w:rPr>
            </w:pPr>
            <w:r>
              <w:rPr>
                <w:rFonts w:hint="eastAsia"/>
              </w:rPr>
              <w:t>指标1：市级国土资源局</w:t>
            </w:r>
          </w:p>
          <w:p w14:paraId="5FAE6BD5">
            <w:pPr>
              <w:widowControl/>
              <w:jc w:val="center"/>
              <w:textAlignment w:val="center"/>
              <w:rPr>
                <w:rFonts w:ascii="宋体" w:hAnsi="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DC3111">
            <w:pPr>
              <w:widowControl/>
              <w:jc w:val="center"/>
              <w:textAlignment w:val="center"/>
              <w:rPr>
                <w:rFonts w:ascii="宋体" w:hAnsi="宋体" w:cs="宋体"/>
                <w:color w:val="000000"/>
                <w:sz w:val="24"/>
              </w:rPr>
            </w:pPr>
            <w:r>
              <w:rPr>
                <w:rFonts w:hint="eastAsia"/>
              </w:rPr>
              <w:t>达到检查目的和要求</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2D9144">
            <w:pPr>
              <w:widowControl/>
              <w:jc w:val="center"/>
              <w:textAlignment w:val="center"/>
              <w:rPr>
                <w:rFonts w:ascii="宋体" w:hAnsi="宋体" w:cs="宋体"/>
                <w:color w:val="000000"/>
                <w:sz w:val="24"/>
              </w:rPr>
            </w:pPr>
            <w:r>
              <w:rPr>
                <w:rFonts w:hint="eastAsia"/>
              </w:rPr>
              <w:t>达到检查目的和要求</w:t>
            </w:r>
          </w:p>
        </w:tc>
      </w:tr>
      <w:tr w14:paraId="114FF356">
        <w:tblPrEx>
          <w:tblCellMar>
            <w:top w:w="0" w:type="dxa"/>
            <w:left w:w="0" w:type="dxa"/>
            <w:bottom w:w="0" w:type="dxa"/>
            <w:right w:w="0" w:type="dxa"/>
          </w:tblCellMar>
        </w:tblPrEx>
        <w:trPr>
          <w:trHeight w:val="1297"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50A3EBA3">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20812683">
            <w:pPr>
              <w:widowControl/>
              <w:jc w:val="center"/>
              <w:textAlignment w:val="center"/>
              <w:rPr>
                <w:rFonts w:ascii="宋体" w:hAnsi="宋体" w:cs="宋体"/>
                <w:color w:val="000000"/>
                <w:kern w:val="0"/>
                <w:sz w:val="24"/>
              </w:rPr>
            </w:pPr>
          </w:p>
        </w:tc>
        <w:tc>
          <w:tcPr>
            <w:tcW w:w="1093"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0D7A2AC2">
            <w:pPr>
              <w:jc w:val="center"/>
              <w:rPr>
                <w:rFonts w:ascii="宋体" w:hAnsi="宋体" w:cs="宋体"/>
                <w:color w:val="000000"/>
                <w:sz w:val="24"/>
              </w:rPr>
            </w:pP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DD38E">
            <w:pPr>
              <w:widowControl/>
              <w:jc w:val="center"/>
              <w:textAlignment w:val="center"/>
              <w:rPr>
                <w:rFonts w:ascii="宋体" w:hAnsi="宋体" w:cs="宋体"/>
                <w:color w:val="000000"/>
                <w:sz w:val="24"/>
              </w:rPr>
            </w:pPr>
            <w:r>
              <w:rPr>
                <w:rFonts w:hint="eastAsia" w:ascii="宋体" w:hAnsi="宋体" w:cs="宋体"/>
                <w:color w:val="000000"/>
                <w:sz w:val="24"/>
              </w:rPr>
              <w:t>指标2：省国土资源厅</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BF5DBB">
            <w:pPr>
              <w:widowControl/>
              <w:jc w:val="center"/>
              <w:textAlignment w:val="center"/>
              <w:rPr>
                <w:rFonts w:ascii="宋体" w:hAnsi="宋体" w:cs="宋体"/>
                <w:color w:val="000000"/>
                <w:sz w:val="24"/>
              </w:rPr>
            </w:pPr>
            <w:r>
              <w:rPr>
                <w:rFonts w:hint="eastAsia"/>
              </w:rPr>
              <w:t>达到检查目的和要求</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86B00F">
            <w:pPr>
              <w:widowControl/>
              <w:jc w:val="center"/>
              <w:textAlignment w:val="center"/>
              <w:rPr>
                <w:rFonts w:ascii="宋体" w:hAnsi="宋体" w:cs="宋体"/>
                <w:color w:val="000000"/>
                <w:sz w:val="24"/>
              </w:rPr>
            </w:pPr>
            <w:r>
              <w:rPr>
                <w:rFonts w:hint="eastAsia"/>
              </w:rPr>
              <w:t>达到检查目的和要求</w:t>
            </w:r>
          </w:p>
        </w:tc>
      </w:tr>
      <w:tr w14:paraId="03BBC051">
        <w:tblPrEx>
          <w:tblCellMar>
            <w:top w:w="0" w:type="dxa"/>
            <w:left w:w="0" w:type="dxa"/>
            <w:bottom w:w="0" w:type="dxa"/>
            <w:right w:w="0" w:type="dxa"/>
          </w:tblCellMar>
        </w:tblPrEx>
        <w:trPr>
          <w:trHeight w:val="1034" w:hRule="atLeast"/>
        </w:trPr>
        <w:tc>
          <w:tcPr>
            <w:tcW w:w="10080" w:type="dxa"/>
            <w:gridSpan w:val="7"/>
            <w:tcMar>
              <w:top w:w="15" w:type="dxa"/>
              <w:left w:w="15" w:type="dxa"/>
              <w:bottom w:w="0" w:type="dxa"/>
              <w:right w:w="15" w:type="dxa"/>
            </w:tcMar>
            <w:vAlign w:val="center"/>
          </w:tcPr>
          <w:p w14:paraId="1AB418D3">
            <w:pPr>
              <w:pStyle w:val="18"/>
              <w:widowControl/>
              <w:ind w:left="4173" w:leftChars="1310" w:hanging="1422" w:hangingChars="395"/>
              <w:textAlignment w:val="center"/>
              <w:rPr>
                <w:rFonts w:ascii="黑体" w:hAnsi="黑体" w:eastAsia="黑体" w:cs="宋体"/>
                <w:bCs/>
                <w:color w:val="000000"/>
                <w:kern w:val="0"/>
                <w:sz w:val="36"/>
                <w:szCs w:val="36"/>
              </w:rPr>
            </w:pPr>
          </w:p>
          <w:p w14:paraId="04A4738F">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36E6E80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F3DF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EBEB76">
            <w:pPr>
              <w:widowControl/>
              <w:jc w:val="center"/>
              <w:textAlignment w:val="center"/>
              <w:rPr>
                <w:rFonts w:ascii="宋体" w:hAnsi="宋体" w:cs="宋体"/>
                <w:color w:val="000000"/>
                <w:kern w:val="0"/>
                <w:sz w:val="24"/>
              </w:rPr>
            </w:pPr>
            <w:r>
              <w:rPr>
                <w:rFonts w:hint="eastAsia" w:ascii="宋体" w:hAnsi="宋体" w:cs="宋体"/>
                <w:color w:val="000000"/>
                <w:kern w:val="0"/>
                <w:sz w:val="24"/>
              </w:rPr>
              <w:t>乐山市一水厂清场资金项目</w:t>
            </w:r>
          </w:p>
        </w:tc>
      </w:tr>
      <w:tr w14:paraId="3226C3D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1D827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642A5A">
            <w:pPr>
              <w:widowControl/>
              <w:jc w:val="center"/>
              <w:textAlignment w:val="center"/>
              <w:rPr>
                <w:rFonts w:ascii="宋体" w:hAnsi="宋体" w:cs="宋体"/>
                <w:color w:val="000000"/>
                <w:kern w:val="0"/>
                <w:sz w:val="24"/>
              </w:rPr>
            </w:pPr>
            <w:r>
              <w:rPr>
                <w:rFonts w:hint="eastAsia" w:ascii="宋体" w:hAnsi="宋体" w:cs="宋体"/>
                <w:color w:val="000000"/>
                <w:kern w:val="0"/>
                <w:sz w:val="24"/>
              </w:rPr>
              <w:t>乐山高新技术产业开发区土地储备中心</w:t>
            </w:r>
          </w:p>
        </w:tc>
      </w:tr>
      <w:tr w14:paraId="117A6D8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09568">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128F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380EE0">
            <w:pPr>
              <w:widowControl/>
              <w:jc w:val="center"/>
              <w:textAlignment w:val="center"/>
              <w:rPr>
                <w:rFonts w:ascii="宋体" w:hAnsi="宋体" w:cs="宋体"/>
                <w:color w:val="000000"/>
                <w:sz w:val="24"/>
              </w:rPr>
            </w:pPr>
            <w:r>
              <w:rPr>
                <w:rFonts w:hint="eastAsia" w:ascii="宋体" w:hAnsi="宋体" w:cs="宋体"/>
                <w:color w:val="000000"/>
                <w:sz w:val="24"/>
              </w:rPr>
              <w:t>500.00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E144A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06D38">
            <w:pPr>
              <w:widowControl/>
              <w:jc w:val="center"/>
              <w:textAlignment w:val="center"/>
              <w:rPr>
                <w:rFonts w:ascii="宋体" w:hAnsi="宋体" w:cs="宋体"/>
                <w:color w:val="000000"/>
                <w:sz w:val="24"/>
              </w:rPr>
            </w:pPr>
            <w:r>
              <w:rPr>
                <w:rFonts w:hint="eastAsia" w:ascii="宋体" w:hAnsi="宋体" w:cs="宋体"/>
                <w:color w:val="000000"/>
                <w:sz w:val="24"/>
              </w:rPr>
              <w:t>500.00</w:t>
            </w:r>
          </w:p>
        </w:tc>
      </w:tr>
      <w:tr w14:paraId="0AE26313">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9EDDF4">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3ACA3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8555C8">
            <w:pPr>
              <w:widowControl/>
              <w:jc w:val="center"/>
              <w:textAlignment w:val="center"/>
              <w:rPr>
                <w:rFonts w:ascii="宋体" w:hAnsi="宋体" w:cs="宋体"/>
                <w:color w:val="000000"/>
                <w:sz w:val="24"/>
              </w:rPr>
            </w:pPr>
            <w:r>
              <w:rPr>
                <w:rFonts w:hint="eastAsia" w:ascii="宋体" w:hAnsi="宋体" w:cs="宋体"/>
                <w:color w:val="000000"/>
                <w:sz w:val="24"/>
              </w:rPr>
              <w:t>500.00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B0CBE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AFC9DD">
            <w:pPr>
              <w:widowControl/>
              <w:jc w:val="center"/>
              <w:textAlignment w:val="center"/>
              <w:rPr>
                <w:rFonts w:ascii="宋体" w:hAnsi="宋体" w:cs="宋体"/>
                <w:color w:val="000000"/>
                <w:sz w:val="24"/>
              </w:rPr>
            </w:pPr>
            <w:r>
              <w:rPr>
                <w:rFonts w:hint="eastAsia" w:ascii="宋体" w:hAnsi="宋体" w:cs="宋体"/>
                <w:color w:val="000000"/>
                <w:sz w:val="24"/>
              </w:rPr>
              <w:t>500.00</w:t>
            </w:r>
          </w:p>
        </w:tc>
      </w:tr>
      <w:tr w14:paraId="5901A0D1">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D1ACD3">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17DA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5DBDF7">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5D25B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672192">
            <w:pPr>
              <w:jc w:val="center"/>
              <w:rPr>
                <w:rFonts w:ascii="宋体" w:hAnsi="宋体" w:cs="宋体"/>
                <w:color w:val="000000"/>
                <w:sz w:val="24"/>
              </w:rPr>
            </w:pPr>
            <w:r>
              <w:rPr>
                <w:rFonts w:hint="eastAsia" w:ascii="宋体" w:hAnsi="宋体" w:cs="宋体"/>
                <w:color w:val="000000"/>
                <w:sz w:val="24"/>
              </w:rPr>
              <w:t>0</w:t>
            </w:r>
          </w:p>
        </w:tc>
      </w:tr>
      <w:tr w14:paraId="44251C5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80265">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6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29B5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73E5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2D9B64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D6E1FB4">
            <w:pPr>
              <w:widowControl/>
              <w:jc w:val="left"/>
              <w:rPr>
                <w:rFonts w:ascii="宋体" w:hAnsi="宋体" w:cs="宋体"/>
                <w:color w:val="000000"/>
                <w:sz w:val="24"/>
              </w:rPr>
            </w:pPr>
          </w:p>
        </w:tc>
        <w:tc>
          <w:tcPr>
            <w:tcW w:w="476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8A29B">
            <w:pPr>
              <w:widowControl/>
              <w:jc w:val="center"/>
              <w:textAlignment w:val="center"/>
              <w:rPr>
                <w:rFonts w:ascii="宋体" w:hAnsi="宋体" w:cs="宋体"/>
                <w:color w:val="000000"/>
                <w:sz w:val="24"/>
              </w:rPr>
            </w:pPr>
            <w:r>
              <w:rPr>
                <w:rFonts w:hint="eastAsia" w:ascii="宋体" w:hAnsi="宋体" w:cs="宋体"/>
                <w:color w:val="000000"/>
                <w:sz w:val="24"/>
              </w:rPr>
              <w:t xml:space="preserve"> 保障乐山市一水厂项目用地。</w:t>
            </w:r>
          </w:p>
        </w:tc>
        <w:tc>
          <w:tcPr>
            <w:tcW w:w="4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72903F">
            <w:pPr>
              <w:widowControl/>
              <w:jc w:val="center"/>
              <w:textAlignment w:val="center"/>
              <w:rPr>
                <w:rFonts w:ascii="宋体" w:hAnsi="宋体" w:cs="宋体"/>
                <w:color w:val="000000"/>
                <w:sz w:val="24"/>
              </w:rPr>
            </w:pPr>
            <w:r>
              <w:rPr>
                <w:rFonts w:hint="eastAsia" w:ascii="宋体" w:hAnsi="宋体" w:cs="宋体"/>
                <w:color w:val="000000"/>
                <w:sz w:val="24"/>
              </w:rPr>
              <w:t xml:space="preserve"> 保障乐山市一水厂项目用地。</w:t>
            </w:r>
          </w:p>
        </w:tc>
      </w:tr>
      <w:tr w14:paraId="5498B73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EE0CD3">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B09A7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89188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1A7DE">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DAC8F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FBDF88">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F02AC71">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D9111A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D24E3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22DB8B">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23DCD">
            <w:pPr>
              <w:widowControl/>
              <w:jc w:val="left"/>
              <w:textAlignment w:val="center"/>
              <w:rPr>
                <w:rFonts w:ascii="宋体" w:hAnsi="宋体" w:cs="宋体"/>
                <w:color w:val="000000"/>
                <w:sz w:val="24"/>
              </w:rPr>
            </w:pPr>
            <w:r>
              <w:rPr>
                <w:rFonts w:hint="eastAsia" w:ascii="宋体" w:hAnsi="宋体" w:cs="宋体"/>
                <w:color w:val="000000"/>
                <w:kern w:val="0"/>
                <w:sz w:val="24"/>
              </w:rPr>
              <w:t>指标1：保障项目用地</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6C4BD7">
            <w:pPr>
              <w:widowControl/>
              <w:jc w:val="left"/>
              <w:textAlignment w:val="center"/>
              <w:rPr>
                <w:rFonts w:ascii="宋体" w:hAnsi="宋体" w:cs="宋体"/>
                <w:color w:val="000000"/>
                <w:sz w:val="24"/>
              </w:rPr>
            </w:pPr>
            <w:r>
              <w:rPr>
                <w:rFonts w:hint="eastAsia" w:ascii="宋体" w:hAnsi="宋体" w:cs="宋体"/>
                <w:color w:val="000000"/>
                <w:kern w:val="0"/>
                <w:sz w:val="24"/>
              </w:rPr>
              <w:t>129亩</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B4A815">
            <w:pPr>
              <w:widowControl/>
              <w:jc w:val="left"/>
              <w:textAlignment w:val="center"/>
              <w:rPr>
                <w:rFonts w:ascii="宋体" w:hAnsi="宋体" w:cs="宋体"/>
                <w:color w:val="000000"/>
                <w:sz w:val="24"/>
              </w:rPr>
            </w:pPr>
            <w:r>
              <w:rPr>
                <w:rFonts w:hint="eastAsia" w:ascii="宋体" w:hAnsi="宋体" w:cs="宋体"/>
                <w:color w:val="000000"/>
                <w:kern w:val="0"/>
                <w:sz w:val="24"/>
              </w:rPr>
              <w:t>129亩</w:t>
            </w:r>
          </w:p>
        </w:tc>
      </w:tr>
      <w:tr w14:paraId="36E0C723">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BE9C7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7FB3D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50F0A4">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F3E9A5">
            <w:pPr>
              <w:widowControl/>
              <w:jc w:val="left"/>
              <w:textAlignment w:val="center"/>
              <w:rPr>
                <w:rFonts w:ascii="宋体" w:hAnsi="宋体" w:cs="宋体"/>
                <w:color w:val="000000"/>
                <w:sz w:val="24"/>
              </w:rPr>
            </w:pPr>
            <w:r>
              <w:rPr>
                <w:rFonts w:hint="eastAsia" w:ascii="宋体" w:hAnsi="宋体" w:cs="宋体"/>
                <w:color w:val="000000"/>
                <w:kern w:val="0"/>
                <w:sz w:val="24"/>
              </w:rPr>
              <w:t>指标1：供地要求</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3C13BA">
            <w:pPr>
              <w:widowControl/>
              <w:jc w:val="left"/>
              <w:textAlignment w:val="center"/>
              <w:rPr>
                <w:rFonts w:ascii="宋体" w:hAnsi="宋体" w:cs="宋体"/>
                <w:color w:val="000000"/>
                <w:szCs w:val="21"/>
              </w:rPr>
            </w:pPr>
            <w:r>
              <w:rPr>
                <w:rFonts w:hint="eastAsia" w:ascii="宋体" w:hAnsi="宋体" w:cs="宋体"/>
                <w:color w:val="000000"/>
                <w:kern w:val="0"/>
                <w:sz w:val="24"/>
              </w:rPr>
              <w:t>合格</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3345E9">
            <w:pPr>
              <w:widowControl/>
              <w:jc w:val="left"/>
              <w:textAlignment w:val="center"/>
              <w:rPr>
                <w:rFonts w:ascii="宋体" w:hAnsi="宋体" w:cs="宋体"/>
                <w:color w:val="000000"/>
                <w:szCs w:val="21"/>
              </w:rPr>
            </w:pPr>
            <w:r>
              <w:rPr>
                <w:rFonts w:hint="eastAsia" w:ascii="宋体" w:hAnsi="宋体" w:cs="宋体"/>
                <w:color w:val="000000"/>
                <w:kern w:val="0"/>
                <w:sz w:val="24"/>
              </w:rPr>
              <w:t>合格</w:t>
            </w:r>
          </w:p>
        </w:tc>
      </w:tr>
      <w:tr w14:paraId="1382AF6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70CFF3C">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2C334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2AEFD2">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7BC1DA">
            <w:pPr>
              <w:widowControl/>
              <w:jc w:val="left"/>
              <w:textAlignment w:val="center"/>
              <w:rPr>
                <w:rFonts w:ascii="宋体" w:hAnsi="宋体" w:cs="宋体"/>
                <w:color w:val="000000"/>
                <w:sz w:val="24"/>
              </w:rPr>
            </w:pPr>
            <w:r>
              <w:rPr>
                <w:rFonts w:hint="eastAsia" w:ascii="宋体" w:hAnsi="宋体" w:cs="宋体"/>
                <w:color w:val="000000"/>
                <w:kern w:val="0"/>
                <w:sz w:val="24"/>
              </w:rPr>
              <w:t>指标1：完成时间</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9EDF78">
            <w:pPr>
              <w:widowControl/>
              <w:jc w:val="left"/>
              <w:textAlignment w:val="center"/>
              <w:rPr>
                <w:rFonts w:ascii="宋体" w:hAnsi="宋体" w:cs="宋体"/>
                <w:color w:val="000000"/>
                <w:sz w:val="24"/>
              </w:rPr>
            </w:pPr>
            <w:r>
              <w:rPr>
                <w:rFonts w:hint="eastAsia" w:ascii="宋体" w:hAnsi="宋体" w:cs="宋体"/>
                <w:color w:val="000000"/>
                <w:kern w:val="0"/>
                <w:sz w:val="20"/>
                <w:szCs w:val="20"/>
              </w:rPr>
              <w:t>依照管委会用地要求时间及时完成</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E8B7FF">
            <w:pPr>
              <w:widowControl/>
              <w:jc w:val="left"/>
              <w:textAlignment w:val="center"/>
              <w:rPr>
                <w:rFonts w:ascii="宋体" w:hAnsi="宋体" w:cs="宋体"/>
                <w:color w:val="000000"/>
                <w:sz w:val="24"/>
              </w:rPr>
            </w:pPr>
            <w:r>
              <w:rPr>
                <w:rFonts w:hint="eastAsia" w:ascii="宋体" w:hAnsi="宋体" w:cs="宋体"/>
                <w:color w:val="000000"/>
                <w:kern w:val="0"/>
                <w:sz w:val="20"/>
                <w:szCs w:val="20"/>
              </w:rPr>
              <w:t>依照管委会用地要求时间及时完成</w:t>
            </w:r>
          </w:p>
        </w:tc>
      </w:tr>
      <w:tr w14:paraId="62702EE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B969C6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3F7507">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FF38E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542DB">
            <w:pPr>
              <w:widowControl/>
              <w:jc w:val="left"/>
              <w:textAlignment w:val="center"/>
              <w:rPr>
                <w:rFonts w:ascii="宋体" w:hAnsi="宋体" w:cs="宋体"/>
                <w:color w:val="000000"/>
                <w:sz w:val="24"/>
              </w:rPr>
            </w:pPr>
            <w:r>
              <w:rPr>
                <w:rFonts w:hint="eastAsia" w:ascii="宋体" w:hAnsi="宋体" w:cs="宋体"/>
                <w:color w:val="000000"/>
                <w:kern w:val="0"/>
                <w:sz w:val="24"/>
              </w:rPr>
              <w:t>指标1：征地成本</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27FDC2">
            <w:pPr>
              <w:widowControl/>
              <w:jc w:val="left"/>
              <w:textAlignment w:val="center"/>
              <w:rPr>
                <w:rFonts w:ascii="宋体" w:hAnsi="宋体" w:cs="宋体"/>
                <w:color w:val="000000"/>
                <w:sz w:val="24"/>
              </w:rPr>
            </w:pPr>
            <w:r>
              <w:rPr>
                <w:rFonts w:hint="eastAsia" w:ascii="宋体" w:hAnsi="宋体" w:cs="宋体"/>
                <w:color w:val="000000"/>
                <w:kern w:val="0"/>
                <w:sz w:val="24"/>
              </w:rPr>
              <w:t>按现行高新区征地政策标准执行</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4DDEC6">
            <w:pPr>
              <w:widowControl/>
              <w:jc w:val="left"/>
              <w:textAlignment w:val="center"/>
              <w:rPr>
                <w:rFonts w:ascii="宋体" w:hAnsi="宋体" w:cs="宋体"/>
                <w:color w:val="000000"/>
                <w:sz w:val="24"/>
              </w:rPr>
            </w:pPr>
            <w:r>
              <w:rPr>
                <w:rFonts w:hint="eastAsia" w:ascii="宋体" w:hAnsi="宋体" w:cs="宋体"/>
                <w:color w:val="000000"/>
                <w:kern w:val="0"/>
                <w:sz w:val="24"/>
              </w:rPr>
              <w:t>按现行高新区征地政策标准执行</w:t>
            </w:r>
          </w:p>
        </w:tc>
      </w:tr>
      <w:tr w14:paraId="49CCD69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B3463C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042C4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2F79C3">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72F1A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指标1：乐山市一水厂项目</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C6858F">
            <w:pPr>
              <w:widowControl/>
              <w:jc w:val="left"/>
              <w:textAlignment w:val="center"/>
              <w:rPr>
                <w:rFonts w:ascii="宋体" w:hAnsi="宋体" w:cs="宋体"/>
                <w:color w:val="000000"/>
                <w:sz w:val="24"/>
              </w:rPr>
            </w:pPr>
            <w:r>
              <w:rPr>
                <w:rFonts w:hint="eastAsia" w:ascii="宋体" w:hAnsi="宋体" w:cs="宋体"/>
                <w:color w:val="000000"/>
                <w:kern w:val="0"/>
                <w:sz w:val="24"/>
              </w:rPr>
              <w:t>加快高新区基础设施发展</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0F0403">
            <w:pPr>
              <w:widowControl/>
              <w:jc w:val="left"/>
              <w:textAlignment w:val="center"/>
              <w:rPr>
                <w:rFonts w:ascii="宋体" w:hAnsi="宋体" w:cs="宋体"/>
                <w:color w:val="000000"/>
                <w:sz w:val="24"/>
              </w:rPr>
            </w:pPr>
            <w:r>
              <w:rPr>
                <w:rFonts w:hint="eastAsia" w:ascii="宋体" w:hAnsi="宋体" w:cs="宋体"/>
                <w:color w:val="000000"/>
                <w:kern w:val="0"/>
                <w:sz w:val="24"/>
              </w:rPr>
              <w:t>加快高新区基础设施发展</w:t>
            </w:r>
          </w:p>
        </w:tc>
      </w:tr>
      <w:tr w14:paraId="24CBE4F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B5D57B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C8B84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1F16DD">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0BE84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4907F8">
            <w:pPr>
              <w:rPr>
                <w:rFonts w:ascii="宋体" w:hAnsi="宋体" w:cs="宋体"/>
                <w:color w:val="000000"/>
                <w:sz w:val="24"/>
              </w:rPr>
            </w:pPr>
            <w:r>
              <w:rPr>
                <w:rFonts w:hint="eastAsia" w:ascii="宋体" w:hAnsi="宋体" w:cs="宋体"/>
                <w:color w:val="000000"/>
                <w:sz w:val="24"/>
              </w:rPr>
              <w:t>无</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CF946A">
            <w:pPr>
              <w:rPr>
                <w:rFonts w:ascii="宋体" w:hAnsi="宋体" w:cs="宋体"/>
                <w:color w:val="000000"/>
                <w:sz w:val="24"/>
              </w:rPr>
            </w:pPr>
            <w:r>
              <w:rPr>
                <w:rFonts w:hint="eastAsia" w:ascii="宋体" w:hAnsi="宋体" w:cs="宋体"/>
                <w:color w:val="000000"/>
                <w:sz w:val="24"/>
              </w:rPr>
              <w:t>无</w:t>
            </w:r>
          </w:p>
        </w:tc>
      </w:tr>
      <w:tr w14:paraId="0B8C273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F53EEB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B45E37">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5142D">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20430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指标1：乐山市一水厂项目</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73D792">
            <w:pPr>
              <w:widowControl/>
              <w:jc w:val="left"/>
              <w:textAlignment w:val="center"/>
              <w:rPr>
                <w:rFonts w:ascii="宋体" w:hAnsi="宋体" w:cs="宋体"/>
                <w:color w:val="000000"/>
                <w:sz w:val="24"/>
              </w:rPr>
            </w:pPr>
            <w:r>
              <w:rPr>
                <w:rFonts w:hint="eastAsia" w:ascii="宋体" w:hAnsi="宋体" w:cs="宋体"/>
                <w:color w:val="000000"/>
                <w:kern w:val="0"/>
                <w:sz w:val="24"/>
              </w:rPr>
              <w:t>加快高新区基础设施发展</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2B6F66">
            <w:pPr>
              <w:widowControl/>
              <w:jc w:val="left"/>
              <w:textAlignment w:val="center"/>
              <w:rPr>
                <w:rFonts w:ascii="宋体" w:hAnsi="宋体" w:cs="宋体"/>
                <w:color w:val="000000"/>
                <w:sz w:val="24"/>
              </w:rPr>
            </w:pPr>
            <w:r>
              <w:rPr>
                <w:rFonts w:hint="eastAsia" w:ascii="宋体" w:hAnsi="宋体" w:cs="宋体"/>
                <w:color w:val="000000"/>
                <w:kern w:val="0"/>
                <w:sz w:val="24"/>
              </w:rPr>
              <w:t>加快高新区基础设施发展</w:t>
            </w:r>
          </w:p>
        </w:tc>
      </w:tr>
      <w:tr w14:paraId="60BEA96A">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79CF9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8F2BC3">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8181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265E7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指标1：区级主管部门</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7D2FC">
            <w:pPr>
              <w:widowControl/>
              <w:jc w:val="left"/>
              <w:textAlignment w:val="center"/>
              <w:rPr>
                <w:rFonts w:ascii="宋体" w:hAnsi="宋体" w:cs="宋体"/>
                <w:color w:val="000000"/>
                <w:sz w:val="24"/>
              </w:rPr>
            </w:pPr>
            <w:r>
              <w:rPr>
                <w:rFonts w:hint="eastAsia" w:ascii="宋体" w:hAnsi="宋体" w:cs="宋体"/>
                <w:color w:val="000000"/>
                <w:kern w:val="0"/>
                <w:sz w:val="24"/>
              </w:rPr>
              <w:t>达到区级主管部门的要求</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E6FB47">
            <w:pPr>
              <w:widowControl/>
              <w:jc w:val="left"/>
              <w:textAlignment w:val="center"/>
              <w:rPr>
                <w:rFonts w:ascii="宋体" w:hAnsi="宋体" w:cs="宋体"/>
                <w:color w:val="000000"/>
                <w:sz w:val="24"/>
              </w:rPr>
            </w:pPr>
            <w:r>
              <w:rPr>
                <w:rFonts w:hint="eastAsia" w:ascii="宋体" w:hAnsi="宋体" w:cs="宋体"/>
                <w:color w:val="000000"/>
                <w:kern w:val="0"/>
                <w:sz w:val="24"/>
              </w:rPr>
              <w:t>达到区级主管部门的要求</w:t>
            </w:r>
          </w:p>
        </w:tc>
      </w:tr>
    </w:tbl>
    <w:p w14:paraId="13E28C9E">
      <w:pPr>
        <w:pStyle w:val="18"/>
        <w:ind w:firstLine="0" w:firstLineChars="0"/>
        <w:rPr>
          <w:rFonts w:ascii="Calibri" w:hAnsi="Calibri"/>
        </w:rPr>
      </w:pPr>
    </w:p>
    <w:tbl>
      <w:tblPr>
        <w:tblStyle w:val="10"/>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367"/>
        <w:gridCol w:w="1025"/>
        <w:gridCol w:w="68"/>
        <w:gridCol w:w="2324"/>
        <w:gridCol w:w="2394"/>
        <w:gridCol w:w="2512"/>
      </w:tblGrid>
      <w:tr w14:paraId="18C7E1C1">
        <w:tblPrEx>
          <w:tblCellMar>
            <w:top w:w="0" w:type="dxa"/>
            <w:left w:w="0" w:type="dxa"/>
            <w:bottom w:w="0" w:type="dxa"/>
            <w:right w:w="0" w:type="dxa"/>
          </w:tblCellMar>
        </w:tblPrEx>
        <w:trPr>
          <w:trHeight w:val="1034" w:hRule="atLeast"/>
        </w:trPr>
        <w:tc>
          <w:tcPr>
            <w:tcW w:w="10080" w:type="dxa"/>
            <w:gridSpan w:val="7"/>
            <w:tcMar>
              <w:top w:w="15" w:type="dxa"/>
              <w:left w:w="15" w:type="dxa"/>
              <w:bottom w:w="0" w:type="dxa"/>
              <w:right w:w="15" w:type="dxa"/>
            </w:tcMar>
            <w:vAlign w:val="center"/>
          </w:tcPr>
          <w:p w14:paraId="06AEA293">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56803A9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0176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F9680">
            <w:pPr>
              <w:widowControl/>
              <w:jc w:val="center"/>
              <w:textAlignment w:val="center"/>
              <w:rPr>
                <w:rFonts w:ascii="宋体" w:hAnsi="宋体" w:cs="宋体"/>
                <w:color w:val="000000"/>
                <w:sz w:val="24"/>
              </w:rPr>
            </w:pPr>
            <w:r>
              <w:rPr>
                <w:rFonts w:hint="eastAsia" w:ascii="宋体" w:hAnsi="宋体" w:cs="宋体"/>
                <w:color w:val="000000"/>
                <w:kern w:val="0"/>
                <w:sz w:val="24"/>
              </w:rPr>
              <w:t>项目征地下清、社保等费用</w:t>
            </w:r>
          </w:p>
        </w:tc>
      </w:tr>
      <w:tr w14:paraId="1E981DD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339B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E7A8D8">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乐山高新技术产业开发区土地储备中心</w:t>
            </w:r>
          </w:p>
        </w:tc>
      </w:tr>
      <w:tr w14:paraId="4ED3E50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D505D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CAD40">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74BAAD">
            <w:pPr>
              <w:widowControl/>
              <w:jc w:val="center"/>
              <w:textAlignment w:val="center"/>
              <w:rPr>
                <w:rFonts w:ascii="宋体" w:hAnsi="宋体" w:cs="宋体"/>
                <w:color w:val="000000"/>
                <w:sz w:val="24"/>
              </w:rPr>
            </w:pPr>
            <w:r>
              <w:rPr>
                <w:rFonts w:hint="eastAsia" w:ascii="宋体" w:hAnsi="宋体" w:cs="宋体"/>
                <w:color w:val="000000"/>
                <w:sz w:val="24"/>
              </w:rPr>
              <w:t>900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0188B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53453B">
            <w:pPr>
              <w:widowControl/>
              <w:jc w:val="center"/>
              <w:textAlignment w:val="center"/>
              <w:rPr>
                <w:rFonts w:ascii="宋体" w:hAnsi="宋体" w:cs="宋体"/>
                <w:color w:val="000000"/>
                <w:sz w:val="24"/>
              </w:rPr>
            </w:pPr>
            <w:r>
              <w:rPr>
                <w:rFonts w:hint="eastAsia" w:ascii="宋体" w:hAnsi="宋体" w:cs="宋体"/>
                <w:color w:val="000000"/>
                <w:sz w:val="24"/>
              </w:rPr>
              <w:t>900</w:t>
            </w:r>
          </w:p>
        </w:tc>
      </w:tr>
      <w:tr w14:paraId="14432E44">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D8C5E66">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066D8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8D4738">
            <w:pPr>
              <w:widowControl/>
              <w:jc w:val="center"/>
              <w:textAlignment w:val="center"/>
              <w:rPr>
                <w:rFonts w:ascii="宋体" w:hAnsi="宋体" w:cs="宋体"/>
                <w:color w:val="000000"/>
                <w:sz w:val="24"/>
              </w:rPr>
            </w:pPr>
            <w:r>
              <w:rPr>
                <w:rFonts w:hint="eastAsia" w:ascii="宋体" w:hAnsi="宋体" w:cs="宋体"/>
                <w:color w:val="000000"/>
                <w:sz w:val="24"/>
              </w:rPr>
              <w:t>900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85E8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05E1C7">
            <w:pPr>
              <w:widowControl/>
              <w:jc w:val="center"/>
              <w:textAlignment w:val="center"/>
              <w:rPr>
                <w:rFonts w:ascii="宋体" w:hAnsi="宋体" w:cs="宋体"/>
                <w:color w:val="000000"/>
                <w:sz w:val="24"/>
              </w:rPr>
            </w:pPr>
            <w:r>
              <w:rPr>
                <w:rFonts w:hint="eastAsia" w:ascii="宋体" w:hAnsi="宋体" w:cs="宋体"/>
                <w:color w:val="000000"/>
                <w:sz w:val="24"/>
              </w:rPr>
              <w:t>900</w:t>
            </w:r>
          </w:p>
        </w:tc>
      </w:tr>
      <w:tr w14:paraId="7E4A7DF3">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7CCAAC">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CBFA4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2ED46B">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37DC0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73DC07">
            <w:pPr>
              <w:jc w:val="center"/>
              <w:rPr>
                <w:rFonts w:ascii="宋体" w:hAnsi="宋体" w:cs="宋体"/>
                <w:color w:val="000000"/>
                <w:sz w:val="24"/>
              </w:rPr>
            </w:pPr>
            <w:r>
              <w:rPr>
                <w:rFonts w:hint="eastAsia" w:ascii="宋体" w:hAnsi="宋体" w:cs="宋体"/>
                <w:color w:val="000000"/>
                <w:sz w:val="24"/>
              </w:rPr>
              <w:t>0</w:t>
            </w:r>
          </w:p>
        </w:tc>
      </w:tr>
      <w:tr w14:paraId="143E8A0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876FE7">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51FC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010E0">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092F3BD">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C045A6">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56846">
            <w:pPr>
              <w:widowControl/>
              <w:jc w:val="center"/>
              <w:textAlignment w:val="center"/>
              <w:rPr>
                <w:rFonts w:ascii="宋体" w:hAnsi="宋体" w:cs="宋体"/>
                <w:color w:val="000000"/>
                <w:sz w:val="24"/>
              </w:rPr>
            </w:pPr>
            <w:r>
              <w:rPr>
                <w:rFonts w:hint="eastAsia" w:ascii="宋体" w:hAnsi="宋体" w:cs="宋体"/>
                <w:color w:val="000000"/>
                <w:sz w:val="24"/>
              </w:rPr>
              <w:t>保障人民医院项目用地。</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B8C58C">
            <w:pPr>
              <w:widowControl/>
              <w:jc w:val="center"/>
              <w:textAlignment w:val="center"/>
              <w:rPr>
                <w:rFonts w:ascii="宋体" w:hAnsi="宋体" w:cs="宋体"/>
                <w:color w:val="000000"/>
                <w:sz w:val="24"/>
              </w:rPr>
            </w:pPr>
            <w:r>
              <w:rPr>
                <w:rFonts w:hint="eastAsia" w:ascii="宋体" w:hAnsi="宋体" w:cs="宋体"/>
                <w:color w:val="000000"/>
                <w:sz w:val="24"/>
              </w:rPr>
              <w:t>保障人民医院项目用地。</w:t>
            </w:r>
          </w:p>
        </w:tc>
      </w:tr>
      <w:tr w14:paraId="47AE54AA">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BE5C5">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9C208C">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1F14B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5DD60B">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A75AD">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8AD5E4">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5B89704">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04EAA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6C15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F530EE">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5D73A3">
            <w:pPr>
              <w:widowControl/>
              <w:jc w:val="left"/>
              <w:textAlignment w:val="center"/>
              <w:rPr>
                <w:rFonts w:ascii="宋体" w:hAnsi="宋体" w:cs="宋体"/>
                <w:color w:val="000000"/>
                <w:sz w:val="24"/>
              </w:rPr>
            </w:pPr>
            <w:r>
              <w:rPr>
                <w:rFonts w:hint="eastAsia" w:ascii="宋体" w:hAnsi="宋体" w:cs="宋体"/>
                <w:color w:val="000000"/>
                <w:kern w:val="0"/>
                <w:sz w:val="24"/>
              </w:rPr>
              <w:t>指标1：保障项目用地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4FA50A">
            <w:pPr>
              <w:widowControl/>
              <w:jc w:val="left"/>
              <w:textAlignment w:val="center"/>
              <w:rPr>
                <w:rFonts w:ascii="宋体" w:hAnsi="宋体" w:cs="宋体"/>
                <w:color w:val="000000"/>
                <w:sz w:val="24"/>
              </w:rPr>
            </w:pPr>
            <w:r>
              <w:rPr>
                <w:rFonts w:hint="eastAsia" w:ascii="宋体" w:hAnsi="宋体" w:cs="宋体"/>
                <w:color w:val="000000"/>
                <w:kern w:val="0"/>
                <w:sz w:val="24"/>
              </w:rPr>
              <w:t>240亩</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FF909D">
            <w:pPr>
              <w:widowControl/>
              <w:jc w:val="left"/>
              <w:textAlignment w:val="center"/>
              <w:rPr>
                <w:rFonts w:ascii="宋体" w:hAnsi="宋体" w:cs="宋体"/>
                <w:color w:val="000000"/>
                <w:sz w:val="24"/>
              </w:rPr>
            </w:pPr>
            <w:r>
              <w:rPr>
                <w:rFonts w:hint="eastAsia" w:ascii="宋体" w:hAnsi="宋体" w:cs="宋体"/>
                <w:color w:val="000000"/>
                <w:kern w:val="0"/>
                <w:sz w:val="24"/>
              </w:rPr>
              <w:t>240亩</w:t>
            </w:r>
          </w:p>
        </w:tc>
      </w:tr>
      <w:tr w14:paraId="57387F10">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2969B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519B4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C5B629">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C90270">
            <w:pPr>
              <w:widowControl/>
              <w:jc w:val="left"/>
              <w:textAlignment w:val="center"/>
              <w:rPr>
                <w:rFonts w:ascii="宋体" w:hAnsi="宋体" w:cs="宋体"/>
                <w:color w:val="000000"/>
                <w:sz w:val="24"/>
              </w:rPr>
            </w:pPr>
            <w:r>
              <w:rPr>
                <w:rFonts w:hint="eastAsia" w:ascii="宋体" w:hAnsi="宋体" w:cs="宋体"/>
                <w:color w:val="000000"/>
                <w:kern w:val="0"/>
                <w:sz w:val="24"/>
              </w:rPr>
              <w:t>指标1：供地要求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3CF209">
            <w:pPr>
              <w:widowControl/>
              <w:jc w:val="left"/>
              <w:textAlignment w:val="center"/>
              <w:rPr>
                <w:rFonts w:ascii="宋体" w:hAnsi="宋体" w:cs="宋体"/>
                <w:color w:val="000000"/>
                <w:szCs w:val="21"/>
              </w:rPr>
            </w:pPr>
            <w:r>
              <w:rPr>
                <w:rFonts w:hint="eastAsia" w:ascii="宋体" w:hAnsi="宋体" w:cs="宋体"/>
                <w:color w:val="000000"/>
                <w:kern w:val="0"/>
                <w:sz w:val="24"/>
              </w:rPr>
              <w:t>合格</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756B9">
            <w:pPr>
              <w:widowControl/>
              <w:jc w:val="left"/>
              <w:textAlignment w:val="center"/>
              <w:rPr>
                <w:rFonts w:ascii="宋体" w:hAnsi="宋体" w:cs="宋体"/>
                <w:color w:val="000000"/>
                <w:szCs w:val="21"/>
              </w:rPr>
            </w:pPr>
            <w:r>
              <w:rPr>
                <w:rFonts w:hint="eastAsia" w:ascii="宋体" w:hAnsi="宋体" w:cs="宋体"/>
                <w:color w:val="000000"/>
                <w:kern w:val="0"/>
                <w:sz w:val="24"/>
              </w:rPr>
              <w:t>合格</w:t>
            </w:r>
          </w:p>
        </w:tc>
      </w:tr>
      <w:tr w14:paraId="523FDBD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7A36EF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0950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8F9C11">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192AC7">
            <w:pPr>
              <w:widowControl/>
              <w:jc w:val="left"/>
              <w:textAlignment w:val="center"/>
              <w:rPr>
                <w:rFonts w:ascii="宋体" w:hAnsi="宋体" w:cs="宋体"/>
                <w:color w:val="000000"/>
                <w:sz w:val="24"/>
              </w:rPr>
            </w:pPr>
            <w:r>
              <w:rPr>
                <w:rFonts w:hint="eastAsia" w:ascii="宋体" w:hAnsi="宋体" w:cs="宋体"/>
                <w:color w:val="000000"/>
                <w:kern w:val="0"/>
                <w:sz w:val="24"/>
              </w:rPr>
              <w:t>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5D0E58">
            <w:pPr>
              <w:widowControl/>
              <w:jc w:val="left"/>
              <w:textAlignment w:val="center"/>
              <w:rPr>
                <w:rFonts w:ascii="宋体" w:hAnsi="宋体" w:cs="宋体"/>
                <w:color w:val="000000"/>
                <w:sz w:val="24"/>
              </w:rPr>
            </w:pPr>
            <w:r>
              <w:rPr>
                <w:rFonts w:hint="eastAsia" w:ascii="宋体" w:hAnsi="宋体" w:cs="宋体"/>
                <w:color w:val="000000"/>
                <w:kern w:val="0"/>
                <w:sz w:val="20"/>
                <w:szCs w:val="20"/>
              </w:rPr>
              <w:t>依照管委会用地要求时间及时完成</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EBE60E">
            <w:pPr>
              <w:widowControl/>
              <w:jc w:val="left"/>
              <w:textAlignment w:val="center"/>
              <w:rPr>
                <w:rFonts w:ascii="宋体" w:hAnsi="宋体" w:cs="宋体"/>
                <w:color w:val="000000"/>
                <w:sz w:val="24"/>
              </w:rPr>
            </w:pPr>
            <w:r>
              <w:rPr>
                <w:rFonts w:hint="eastAsia" w:ascii="宋体" w:hAnsi="宋体" w:cs="宋体"/>
                <w:color w:val="000000"/>
                <w:kern w:val="0"/>
                <w:sz w:val="20"/>
                <w:szCs w:val="20"/>
              </w:rPr>
              <w:t>依照管委会用地要求时间及时完成</w:t>
            </w:r>
          </w:p>
        </w:tc>
      </w:tr>
      <w:tr w14:paraId="44E1436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9587A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9CDE7F">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85B5C3">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6BC5E5">
            <w:pPr>
              <w:widowControl/>
              <w:jc w:val="left"/>
              <w:textAlignment w:val="center"/>
              <w:rPr>
                <w:rFonts w:ascii="宋体" w:hAnsi="宋体" w:cs="宋体"/>
                <w:color w:val="000000"/>
                <w:sz w:val="24"/>
              </w:rPr>
            </w:pPr>
            <w:r>
              <w:rPr>
                <w:rFonts w:hint="eastAsia" w:ascii="宋体" w:hAnsi="宋体" w:cs="宋体"/>
                <w:color w:val="000000"/>
                <w:kern w:val="0"/>
                <w:sz w:val="24"/>
              </w:rPr>
              <w:t>指标1：征地成本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A4E382">
            <w:pPr>
              <w:widowControl/>
              <w:jc w:val="left"/>
              <w:textAlignment w:val="center"/>
              <w:rPr>
                <w:rFonts w:ascii="宋体" w:hAnsi="宋体" w:cs="宋体"/>
                <w:color w:val="000000"/>
                <w:sz w:val="24"/>
              </w:rPr>
            </w:pPr>
            <w:r>
              <w:rPr>
                <w:rFonts w:hint="eastAsia" w:ascii="宋体" w:hAnsi="宋体" w:cs="宋体"/>
                <w:color w:val="000000"/>
                <w:kern w:val="0"/>
                <w:sz w:val="24"/>
              </w:rPr>
              <w:t>按现行高新区征地政策标准执行</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C87E2">
            <w:pPr>
              <w:widowControl/>
              <w:jc w:val="left"/>
              <w:textAlignment w:val="center"/>
              <w:rPr>
                <w:rFonts w:ascii="宋体" w:hAnsi="宋体" w:cs="宋体"/>
                <w:color w:val="000000"/>
                <w:sz w:val="24"/>
              </w:rPr>
            </w:pPr>
            <w:r>
              <w:rPr>
                <w:rFonts w:hint="eastAsia" w:ascii="宋体" w:hAnsi="宋体" w:cs="宋体"/>
                <w:color w:val="000000"/>
                <w:kern w:val="0"/>
                <w:sz w:val="24"/>
              </w:rPr>
              <w:t>按现行高新区征地政策标准执行</w:t>
            </w:r>
          </w:p>
        </w:tc>
      </w:tr>
      <w:tr w14:paraId="2FAC939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18245D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EE8EE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8A0D5F">
            <w:pPr>
              <w:widowControl/>
              <w:jc w:val="center"/>
              <w:textAlignment w:val="center"/>
              <w:rPr>
                <w:rFonts w:ascii="宋体" w:hAnsi="宋体" w:cs="宋体"/>
                <w:color w:val="00000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64BD8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指标1：土地出让价格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06CC9B">
            <w:pPr>
              <w:widowControl/>
              <w:jc w:val="left"/>
              <w:textAlignment w:val="center"/>
              <w:rPr>
                <w:rFonts w:ascii="宋体" w:hAnsi="宋体" w:cs="宋体"/>
                <w:color w:val="000000"/>
                <w:sz w:val="24"/>
              </w:rPr>
            </w:pPr>
            <w:r>
              <w:rPr>
                <w:rFonts w:hint="eastAsia" w:ascii="宋体" w:hAnsi="宋体" w:cs="宋体"/>
                <w:color w:val="000000"/>
                <w:kern w:val="0"/>
                <w:sz w:val="24"/>
              </w:rPr>
              <w:t>按现行高新区土地出让价格标准执行</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7FE27">
            <w:pPr>
              <w:widowControl/>
              <w:jc w:val="left"/>
              <w:textAlignment w:val="center"/>
              <w:rPr>
                <w:rFonts w:ascii="宋体" w:hAnsi="宋体" w:cs="宋体"/>
                <w:color w:val="000000"/>
                <w:sz w:val="24"/>
              </w:rPr>
            </w:pPr>
            <w:r>
              <w:rPr>
                <w:rFonts w:hint="eastAsia" w:ascii="宋体" w:hAnsi="宋体" w:cs="宋体"/>
                <w:color w:val="000000"/>
                <w:kern w:val="0"/>
                <w:sz w:val="24"/>
              </w:rPr>
              <w:t>按现行高新区土地出让价格标准执行</w:t>
            </w:r>
          </w:p>
        </w:tc>
      </w:tr>
      <w:tr w14:paraId="762CE2C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D490D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6EDF08">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9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507BDD">
            <w:pPr>
              <w:jc w:val="center"/>
              <w:rPr>
                <w:rFonts w:ascii="宋体" w:hAnsi="宋体" w:cs="宋体"/>
                <w:color w:val="000000"/>
                <w:sz w:val="24"/>
              </w:rPr>
            </w:pP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8E94E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指标2：人民项目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12321F">
            <w:pPr>
              <w:widowControl/>
              <w:jc w:val="left"/>
              <w:textAlignment w:val="center"/>
              <w:rPr>
                <w:rFonts w:ascii="宋体" w:hAnsi="宋体" w:cs="宋体"/>
                <w:color w:val="000000"/>
                <w:sz w:val="24"/>
              </w:rPr>
            </w:pPr>
            <w:r>
              <w:rPr>
                <w:rFonts w:hint="eastAsia" w:ascii="宋体" w:hAnsi="宋体" w:cs="宋体"/>
                <w:color w:val="000000"/>
                <w:kern w:val="0"/>
                <w:sz w:val="24"/>
              </w:rPr>
              <w:t>加快高新区医疗产业发展</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2A0A48">
            <w:pPr>
              <w:widowControl/>
              <w:jc w:val="left"/>
              <w:textAlignment w:val="center"/>
              <w:rPr>
                <w:rFonts w:ascii="宋体" w:hAnsi="宋体" w:cs="宋体"/>
                <w:color w:val="000000"/>
                <w:sz w:val="24"/>
              </w:rPr>
            </w:pPr>
            <w:r>
              <w:rPr>
                <w:rFonts w:hint="eastAsia" w:ascii="宋体" w:hAnsi="宋体" w:cs="宋体"/>
                <w:color w:val="000000"/>
                <w:kern w:val="0"/>
                <w:sz w:val="24"/>
              </w:rPr>
              <w:t>加快高新区医疗产业发展</w:t>
            </w:r>
          </w:p>
        </w:tc>
      </w:tr>
      <w:tr w14:paraId="7BD355B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089195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1602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0C3E7C">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C08B9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指标1：人民项目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DEF723">
            <w:pPr>
              <w:widowControl/>
              <w:jc w:val="left"/>
              <w:textAlignment w:val="center"/>
              <w:rPr>
                <w:rFonts w:ascii="宋体" w:hAnsi="宋体" w:cs="宋体"/>
                <w:color w:val="000000"/>
                <w:sz w:val="24"/>
              </w:rPr>
            </w:pPr>
            <w:r>
              <w:rPr>
                <w:rFonts w:hint="eastAsia" w:ascii="宋体" w:hAnsi="宋体" w:cs="宋体"/>
                <w:color w:val="000000"/>
                <w:kern w:val="0"/>
                <w:sz w:val="24"/>
              </w:rPr>
              <w:t>加快高新区医疗产业发展</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C2E8D0">
            <w:pPr>
              <w:widowControl/>
              <w:jc w:val="left"/>
              <w:textAlignment w:val="center"/>
              <w:rPr>
                <w:rFonts w:ascii="宋体" w:hAnsi="宋体" w:cs="宋体"/>
                <w:color w:val="000000"/>
                <w:sz w:val="24"/>
              </w:rPr>
            </w:pPr>
            <w:r>
              <w:rPr>
                <w:rFonts w:hint="eastAsia" w:ascii="宋体" w:hAnsi="宋体" w:cs="宋体"/>
                <w:color w:val="000000"/>
                <w:kern w:val="0"/>
                <w:sz w:val="24"/>
              </w:rPr>
              <w:t>加快高新区医疗产业发展</w:t>
            </w:r>
          </w:p>
        </w:tc>
      </w:tr>
      <w:tr w14:paraId="6DB76B32">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7A4CC2D">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B0ED52">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9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86017">
            <w:pPr>
              <w:jc w:val="center"/>
              <w:rPr>
                <w:rFonts w:ascii="宋体" w:hAnsi="宋体" w:cs="宋体"/>
                <w:color w:val="000000"/>
                <w:sz w:val="24"/>
              </w:rPr>
            </w:pP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C3F66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指标2：人民项目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B77440">
            <w:pPr>
              <w:widowControl/>
              <w:jc w:val="left"/>
              <w:textAlignment w:val="center"/>
              <w:rPr>
                <w:rFonts w:ascii="宋体" w:hAnsi="宋体" w:cs="宋体"/>
                <w:color w:val="000000"/>
                <w:sz w:val="24"/>
              </w:rPr>
            </w:pPr>
            <w:r>
              <w:rPr>
                <w:rFonts w:hint="eastAsia" w:ascii="宋体" w:hAnsi="宋体" w:cs="宋体"/>
                <w:color w:val="000000"/>
                <w:kern w:val="0"/>
                <w:sz w:val="24"/>
              </w:rPr>
              <w:t>提供跟快捷方便的医疗服务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D6A27">
            <w:pPr>
              <w:widowControl/>
              <w:jc w:val="left"/>
              <w:textAlignment w:val="center"/>
              <w:rPr>
                <w:rFonts w:ascii="宋体" w:hAnsi="宋体" w:cs="宋体"/>
                <w:color w:val="000000"/>
                <w:sz w:val="24"/>
              </w:rPr>
            </w:pPr>
            <w:r>
              <w:rPr>
                <w:rFonts w:hint="eastAsia" w:ascii="宋体" w:hAnsi="宋体" w:cs="宋体"/>
                <w:color w:val="000000"/>
                <w:kern w:val="0"/>
                <w:sz w:val="24"/>
              </w:rPr>
              <w:t>提供跟快捷方便的医疗服务</w:t>
            </w:r>
          </w:p>
        </w:tc>
      </w:tr>
    </w:tbl>
    <w:p w14:paraId="19873371">
      <w:pPr>
        <w:pStyle w:val="18"/>
        <w:ind w:firstLine="0" w:firstLineChars="0"/>
        <w:rPr>
          <w:rFonts w:ascii="Calibri" w:hAnsi="Calibri"/>
        </w:rPr>
      </w:pPr>
    </w:p>
    <w:tbl>
      <w:tblPr>
        <w:tblStyle w:val="10"/>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367"/>
        <w:gridCol w:w="1025"/>
        <w:gridCol w:w="68"/>
        <w:gridCol w:w="2324"/>
        <w:gridCol w:w="2394"/>
        <w:gridCol w:w="102"/>
        <w:gridCol w:w="2410"/>
      </w:tblGrid>
      <w:tr w14:paraId="252821A6">
        <w:tblPrEx>
          <w:tblCellMar>
            <w:top w:w="0" w:type="dxa"/>
            <w:left w:w="0" w:type="dxa"/>
            <w:bottom w:w="0" w:type="dxa"/>
            <w:right w:w="0" w:type="dxa"/>
          </w:tblCellMar>
        </w:tblPrEx>
        <w:trPr>
          <w:trHeight w:val="1034" w:hRule="atLeast"/>
        </w:trPr>
        <w:tc>
          <w:tcPr>
            <w:tcW w:w="10080" w:type="dxa"/>
            <w:gridSpan w:val="8"/>
            <w:tcMar>
              <w:top w:w="15" w:type="dxa"/>
              <w:left w:w="15" w:type="dxa"/>
              <w:bottom w:w="0" w:type="dxa"/>
              <w:right w:w="15" w:type="dxa"/>
            </w:tcMar>
            <w:vAlign w:val="center"/>
          </w:tcPr>
          <w:p w14:paraId="29C4E2E0">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03269F1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A9593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9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265B10">
            <w:pPr>
              <w:widowControl/>
              <w:jc w:val="center"/>
              <w:textAlignment w:val="center"/>
              <w:rPr>
                <w:rFonts w:ascii="宋体" w:hAnsi="宋体" w:cs="宋体"/>
                <w:color w:val="000000"/>
                <w:sz w:val="24"/>
              </w:rPr>
            </w:pPr>
            <w:r>
              <w:rPr>
                <w:rFonts w:hint="eastAsia" w:ascii="宋体" w:hAnsi="宋体" w:cs="宋体"/>
                <w:color w:val="000000"/>
                <w:sz w:val="24"/>
              </w:rPr>
              <w:t>基本农田调整方案编制</w:t>
            </w:r>
          </w:p>
        </w:tc>
      </w:tr>
      <w:tr w14:paraId="6193EA3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38AF16">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9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7CCA2">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乐山高新技术产业开发区土地储备中心</w:t>
            </w:r>
          </w:p>
        </w:tc>
      </w:tr>
      <w:tr w14:paraId="604D70A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BC6224">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FB59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D28073">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3E3A46">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FAA76D">
            <w:pPr>
              <w:widowControl/>
              <w:jc w:val="center"/>
              <w:textAlignment w:val="center"/>
              <w:rPr>
                <w:rFonts w:ascii="宋体" w:hAnsi="宋体" w:cs="宋体"/>
                <w:color w:val="000000"/>
                <w:sz w:val="24"/>
              </w:rPr>
            </w:pPr>
            <w:r>
              <w:rPr>
                <w:rFonts w:hint="eastAsia" w:ascii="宋体" w:hAnsi="宋体" w:cs="宋体"/>
                <w:color w:val="000000"/>
                <w:sz w:val="24"/>
              </w:rPr>
              <w:t>20</w:t>
            </w:r>
          </w:p>
        </w:tc>
      </w:tr>
      <w:tr w14:paraId="500D01C5">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5160D7">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C8D9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48E75A">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F5E40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5C6CFF">
            <w:pPr>
              <w:widowControl/>
              <w:jc w:val="center"/>
              <w:textAlignment w:val="center"/>
              <w:rPr>
                <w:rFonts w:ascii="宋体" w:hAnsi="宋体" w:cs="宋体"/>
                <w:color w:val="000000"/>
                <w:sz w:val="24"/>
              </w:rPr>
            </w:pPr>
            <w:r>
              <w:rPr>
                <w:rFonts w:hint="eastAsia" w:ascii="宋体" w:hAnsi="宋体" w:cs="宋体"/>
                <w:color w:val="000000"/>
                <w:sz w:val="24"/>
              </w:rPr>
              <w:t>20</w:t>
            </w:r>
          </w:p>
        </w:tc>
      </w:tr>
      <w:tr w14:paraId="28C19CD2">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BCBB5F">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D1311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94445C">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E7159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768D07">
            <w:pPr>
              <w:jc w:val="center"/>
              <w:rPr>
                <w:rFonts w:ascii="宋体" w:hAnsi="宋体" w:cs="宋体"/>
                <w:color w:val="000000"/>
                <w:sz w:val="24"/>
              </w:rPr>
            </w:pPr>
            <w:r>
              <w:rPr>
                <w:rFonts w:hint="eastAsia" w:ascii="宋体" w:hAnsi="宋体" w:cs="宋体"/>
                <w:color w:val="000000"/>
                <w:sz w:val="24"/>
              </w:rPr>
              <w:t>0</w:t>
            </w:r>
          </w:p>
        </w:tc>
      </w:tr>
      <w:tr w14:paraId="379FC25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85894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C4656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0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8766C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C31ED3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C562E32">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240C3F">
            <w:pPr>
              <w:widowControl/>
              <w:jc w:val="center"/>
              <w:textAlignment w:val="center"/>
              <w:rPr>
                <w:rFonts w:ascii="宋体" w:hAnsi="宋体" w:cs="宋体"/>
                <w:color w:val="000000"/>
                <w:sz w:val="24"/>
              </w:rPr>
            </w:pPr>
            <w:r>
              <w:rPr>
                <w:rFonts w:hint="eastAsia"/>
              </w:rPr>
              <w:t>完成2018年度项目占用基本农田所涉及的调整和补划方案编制等工作。</w:t>
            </w:r>
          </w:p>
        </w:tc>
        <w:tc>
          <w:tcPr>
            <w:tcW w:w="490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8BB48A">
            <w:pPr>
              <w:widowControl/>
              <w:jc w:val="center"/>
              <w:textAlignment w:val="center"/>
              <w:rPr>
                <w:rFonts w:ascii="宋体" w:hAnsi="宋体" w:cs="宋体"/>
                <w:color w:val="000000"/>
                <w:sz w:val="24"/>
              </w:rPr>
            </w:pPr>
            <w:r>
              <w:rPr>
                <w:rFonts w:hint="eastAsia"/>
              </w:rPr>
              <w:t>完成2018年度项目占用基本农田所涉及的调整和补划方案编制等工作。</w:t>
            </w:r>
          </w:p>
        </w:tc>
      </w:tr>
      <w:tr w14:paraId="263B0B5B">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CB9E41">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06E02">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21E8B">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DD57E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92DD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D30F3C">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72600A8">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0E960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35A92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1FC43">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B01022">
            <w:pPr>
              <w:widowControl/>
              <w:jc w:val="left"/>
              <w:textAlignment w:val="center"/>
              <w:rPr>
                <w:rFonts w:ascii="宋体" w:hAnsi="宋体" w:cs="宋体"/>
                <w:color w:val="000000"/>
                <w:sz w:val="24"/>
              </w:rPr>
            </w:pPr>
            <w:r>
              <w:rPr>
                <w:rFonts w:hint="eastAsia" w:ascii="宋体" w:hAnsi="宋体" w:cs="宋体"/>
                <w:color w:val="000000"/>
                <w:kern w:val="0"/>
                <w:sz w:val="20"/>
                <w:szCs w:val="20"/>
              </w:rPr>
              <w:t xml:space="preserve"> 指标1：基本农田保护</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F15107">
            <w:pPr>
              <w:widowControl/>
              <w:jc w:val="left"/>
              <w:textAlignment w:val="center"/>
              <w:rPr>
                <w:rFonts w:ascii="宋体" w:hAnsi="宋体" w:cs="宋体"/>
                <w:color w:val="000000"/>
                <w:sz w:val="24"/>
              </w:rPr>
            </w:pPr>
            <w:r>
              <w:rPr>
                <w:rFonts w:hint="eastAsia" w:ascii="宋体" w:hAnsi="宋体" w:cs="宋体"/>
                <w:color w:val="000000"/>
                <w:kern w:val="0"/>
                <w:sz w:val="20"/>
                <w:szCs w:val="20"/>
              </w:rPr>
              <w:t>按2018年度要求完成，满足基本农田保护的要求</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A961E7">
            <w:pPr>
              <w:widowControl/>
              <w:jc w:val="left"/>
              <w:textAlignment w:val="center"/>
              <w:rPr>
                <w:rFonts w:ascii="宋体" w:hAnsi="宋体" w:cs="宋体"/>
                <w:color w:val="000000"/>
                <w:sz w:val="24"/>
              </w:rPr>
            </w:pPr>
            <w:r>
              <w:rPr>
                <w:rFonts w:hint="eastAsia" w:ascii="宋体" w:hAnsi="宋体" w:cs="宋体"/>
                <w:color w:val="000000"/>
                <w:kern w:val="0"/>
                <w:sz w:val="20"/>
                <w:szCs w:val="20"/>
              </w:rPr>
              <w:t>按2018年度要求完成，满足基本农田保护的要求</w:t>
            </w:r>
          </w:p>
        </w:tc>
      </w:tr>
      <w:tr w14:paraId="7F3C93A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7CEEDBD">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BDB2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82EDE">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C73C53">
            <w:pPr>
              <w:widowControl/>
              <w:jc w:val="left"/>
              <w:textAlignment w:val="center"/>
              <w:rPr>
                <w:rFonts w:ascii="宋体" w:hAnsi="宋体" w:cs="宋体"/>
                <w:color w:val="000000"/>
                <w:sz w:val="24"/>
              </w:rPr>
            </w:pPr>
            <w:r>
              <w:rPr>
                <w:rFonts w:hint="eastAsia" w:ascii="宋体" w:hAnsi="宋体" w:cs="宋体"/>
                <w:color w:val="000000"/>
                <w:kern w:val="0"/>
                <w:sz w:val="20"/>
                <w:szCs w:val="20"/>
              </w:rPr>
              <w:t xml:space="preserve"> 指标1：基本农田保护</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69C45F">
            <w:pPr>
              <w:widowControl/>
              <w:jc w:val="left"/>
              <w:textAlignment w:val="center"/>
              <w:rPr>
                <w:rFonts w:ascii="宋体" w:hAnsi="宋体" w:cs="宋体"/>
                <w:color w:val="000000"/>
                <w:szCs w:val="21"/>
              </w:rPr>
            </w:pPr>
            <w:r>
              <w:rPr>
                <w:rFonts w:hint="eastAsia" w:ascii="宋体" w:hAnsi="宋体" w:cs="宋体"/>
                <w:color w:val="000000"/>
                <w:kern w:val="0"/>
                <w:sz w:val="20"/>
                <w:szCs w:val="20"/>
              </w:rPr>
              <w:t>满足基本农田保护的要求</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7AF549">
            <w:pPr>
              <w:widowControl/>
              <w:jc w:val="left"/>
              <w:textAlignment w:val="center"/>
              <w:rPr>
                <w:rFonts w:ascii="宋体" w:hAnsi="宋体" w:cs="宋体"/>
                <w:color w:val="000000"/>
                <w:szCs w:val="21"/>
              </w:rPr>
            </w:pPr>
            <w:r>
              <w:rPr>
                <w:rFonts w:hint="eastAsia" w:ascii="宋体" w:hAnsi="宋体" w:cs="宋体"/>
                <w:color w:val="000000"/>
                <w:kern w:val="0"/>
                <w:sz w:val="20"/>
                <w:szCs w:val="20"/>
              </w:rPr>
              <w:t>满足基本农田保护的要求</w:t>
            </w:r>
          </w:p>
        </w:tc>
      </w:tr>
      <w:tr w14:paraId="7A5B82E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E898A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481E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62E374">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0121C9">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指标1：开展基本农田调整和补划工作时间</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6AB124">
            <w:pPr>
              <w:widowControl/>
              <w:jc w:val="left"/>
              <w:textAlignment w:val="center"/>
              <w:rPr>
                <w:rFonts w:ascii="宋体" w:hAnsi="宋体" w:cs="宋体"/>
                <w:color w:val="000000"/>
                <w:sz w:val="24"/>
              </w:rPr>
            </w:pPr>
            <w:r>
              <w:rPr>
                <w:rFonts w:hint="eastAsia" w:ascii="宋体" w:hAnsi="宋体" w:cs="宋体"/>
                <w:color w:val="000000"/>
                <w:kern w:val="0"/>
                <w:sz w:val="20"/>
                <w:szCs w:val="20"/>
              </w:rPr>
              <w:t>按上级要求及时开展</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18CA5">
            <w:pPr>
              <w:widowControl/>
              <w:jc w:val="left"/>
              <w:textAlignment w:val="center"/>
              <w:rPr>
                <w:rFonts w:ascii="宋体" w:hAnsi="宋体" w:cs="宋体"/>
                <w:color w:val="000000"/>
                <w:sz w:val="24"/>
              </w:rPr>
            </w:pPr>
            <w:r>
              <w:rPr>
                <w:rFonts w:hint="eastAsia" w:ascii="宋体" w:hAnsi="宋体" w:cs="宋体"/>
                <w:color w:val="000000"/>
                <w:kern w:val="0"/>
                <w:sz w:val="20"/>
                <w:szCs w:val="20"/>
              </w:rPr>
              <w:t>按上级要求及时开展</w:t>
            </w:r>
          </w:p>
        </w:tc>
      </w:tr>
      <w:tr w14:paraId="41980A5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725DED">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BA9C11">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5225A">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540182">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指标1：基本农田调整方案编制</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649C1">
            <w:pPr>
              <w:widowControl/>
              <w:jc w:val="left"/>
              <w:textAlignment w:val="center"/>
              <w:rPr>
                <w:rFonts w:ascii="宋体" w:hAnsi="宋体" w:cs="宋体"/>
                <w:color w:val="000000"/>
                <w:sz w:val="24"/>
              </w:rPr>
            </w:pPr>
            <w:r>
              <w:rPr>
                <w:rFonts w:hint="eastAsia" w:ascii="宋体" w:hAnsi="宋体" w:cs="宋体"/>
                <w:color w:val="000000"/>
                <w:kern w:val="0"/>
                <w:sz w:val="20"/>
                <w:szCs w:val="20"/>
              </w:rPr>
              <w:t>按行业标准执行</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B22D04">
            <w:pPr>
              <w:widowControl/>
              <w:jc w:val="left"/>
              <w:textAlignment w:val="center"/>
              <w:rPr>
                <w:rFonts w:ascii="宋体" w:hAnsi="宋体" w:cs="宋体"/>
                <w:color w:val="000000"/>
                <w:sz w:val="24"/>
              </w:rPr>
            </w:pPr>
            <w:r>
              <w:rPr>
                <w:rFonts w:hint="eastAsia" w:ascii="宋体" w:hAnsi="宋体" w:cs="宋体"/>
                <w:color w:val="000000"/>
                <w:kern w:val="0"/>
                <w:sz w:val="20"/>
                <w:szCs w:val="20"/>
              </w:rPr>
              <w:t>按行业标准执行</w:t>
            </w:r>
          </w:p>
        </w:tc>
      </w:tr>
      <w:tr w14:paraId="266A0E0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3F69D0C">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37F07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CC46F">
            <w:pPr>
              <w:widowControl/>
              <w:jc w:val="center"/>
              <w:textAlignment w:val="center"/>
              <w:rPr>
                <w:rFonts w:ascii="宋体" w:hAnsi="宋体" w:cs="宋体"/>
                <w:color w:val="00000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22B0A3">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指标1：基本农田保护</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400747">
            <w:pPr>
              <w:widowControl/>
              <w:jc w:val="left"/>
              <w:textAlignment w:val="center"/>
              <w:rPr>
                <w:rFonts w:ascii="宋体" w:hAnsi="宋体" w:cs="宋体"/>
                <w:color w:val="000000"/>
                <w:sz w:val="24"/>
              </w:rPr>
            </w:pPr>
            <w:r>
              <w:rPr>
                <w:rFonts w:hint="eastAsia" w:ascii="宋体" w:hAnsi="宋体" w:cs="宋体"/>
                <w:color w:val="000000"/>
                <w:kern w:val="0"/>
                <w:sz w:val="20"/>
                <w:szCs w:val="20"/>
              </w:rPr>
              <w:t>为总部经济区项目建设提供土地要素保障</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3AC18">
            <w:pPr>
              <w:widowControl/>
              <w:jc w:val="left"/>
              <w:textAlignment w:val="center"/>
              <w:rPr>
                <w:rFonts w:ascii="宋体" w:hAnsi="宋体" w:cs="宋体"/>
                <w:color w:val="000000"/>
                <w:sz w:val="24"/>
              </w:rPr>
            </w:pPr>
            <w:r>
              <w:rPr>
                <w:rFonts w:hint="eastAsia" w:ascii="宋体" w:hAnsi="宋体" w:cs="宋体"/>
                <w:color w:val="000000"/>
                <w:kern w:val="0"/>
                <w:sz w:val="20"/>
                <w:szCs w:val="20"/>
              </w:rPr>
              <w:t>为总部经济区项目建设提供土地要素保障</w:t>
            </w:r>
          </w:p>
        </w:tc>
      </w:tr>
      <w:tr w14:paraId="608E9B5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AE021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60E7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003DA2">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38D34B">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指标1：基本农田保护工作</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043749">
            <w:pPr>
              <w:widowControl/>
              <w:jc w:val="left"/>
              <w:textAlignment w:val="center"/>
              <w:rPr>
                <w:rFonts w:ascii="宋体" w:hAnsi="宋体" w:cs="宋体"/>
                <w:color w:val="000000"/>
                <w:sz w:val="24"/>
              </w:rPr>
            </w:pPr>
            <w:r>
              <w:rPr>
                <w:rFonts w:hint="eastAsia" w:ascii="宋体" w:hAnsi="宋体" w:cs="宋体"/>
                <w:color w:val="000000"/>
                <w:kern w:val="0"/>
                <w:sz w:val="20"/>
                <w:szCs w:val="20"/>
              </w:rPr>
              <w:t>为总部经济区项目建设提供土地要素保障</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B0ED31">
            <w:pPr>
              <w:widowControl/>
              <w:jc w:val="left"/>
              <w:textAlignment w:val="center"/>
              <w:rPr>
                <w:rFonts w:ascii="宋体" w:hAnsi="宋体" w:cs="宋体"/>
                <w:color w:val="000000"/>
                <w:sz w:val="24"/>
              </w:rPr>
            </w:pPr>
            <w:r>
              <w:rPr>
                <w:rFonts w:hint="eastAsia" w:ascii="宋体" w:hAnsi="宋体" w:cs="宋体"/>
                <w:color w:val="000000"/>
                <w:kern w:val="0"/>
                <w:sz w:val="20"/>
                <w:szCs w:val="20"/>
              </w:rPr>
              <w:t>为总部经济区项目建设提供土地要素保障</w:t>
            </w:r>
          </w:p>
        </w:tc>
      </w:tr>
      <w:tr w14:paraId="39CE2E2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9B923C">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11668">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AE46CE">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A08807">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指标1：基本农田保护工作</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DACB64">
            <w:pPr>
              <w:widowControl/>
              <w:jc w:val="left"/>
              <w:textAlignment w:val="center"/>
              <w:rPr>
                <w:rFonts w:ascii="宋体" w:hAnsi="宋体" w:cs="宋体"/>
                <w:color w:val="000000"/>
                <w:sz w:val="24"/>
              </w:rPr>
            </w:pPr>
            <w:r>
              <w:rPr>
                <w:rFonts w:hint="eastAsia" w:ascii="宋体" w:hAnsi="宋体" w:cs="宋体"/>
                <w:color w:val="000000"/>
                <w:kern w:val="0"/>
                <w:sz w:val="20"/>
                <w:szCs w:val="20"/>
              </w:rPr>
              <w:t>保护基本农田</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DE75D7">
            <w:pPr>
              <w:widowControl/>
              <w:jc w:val="left"/>
              <w:textAlignment w:val="center"/>
              <w:rPr>
                <w:rFonts w:ascii="宋体" w:hAnsi="宋体" w:cs="宋体"/>
                <w:color w:val="000000"/>
                <w:sz w:val="24"/>
              </w:rPr>
            </w:pPr>
            <w:r>
              <w:rPr>
                <w:rFonts w:hint="eastAsia" w:ascii="宋体" w:hAnsi="宋体" w:cs="宋体"/>
                <w:color w:val="000000"/>
                <w:kern w:val="0"/>
                <w:sz w:val="20"/>
                <w:szCs w:val="20"/>
              </w:rPr>
              <w:t>保护基本农田</w:t>
            </w:r>
          </w:p>
        </w:tc>
      </w:tr>
      <w:tr w14:paraId="1EF70CD8">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29A0140">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E9AD86">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9A4D95">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328BC7">
            <w:pPr>
              <w:widowControl/>
              <w:jc w:val="left"/>
              <w:textAlignment w:val="center"/>
              <w:rPr>
                <w:rFonts w:ascii="宋体" w:hAnsi="宋体" w:cs="宋体"/>
                <w:color w:val="000000"/>
                <w:sz w:val="24"/>
              </w:rPr>
            </w:pPr>
            <w:r>
              <w:rPr>
                <w:rFonts w:hint="eastAsia" w:ascii="宋体" w:hAnsi="宋体" w:cs="宋体"/>
                <w:color w:val="000000"/>
                <w:kern w:val="0"/>
                <w:sz w:val="20"/>
                <w:szCs w:val="20"/>
              </w:rPr>
              <w:t xml:space="preserve"> 指标1：无</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DCBC1">
            <w:pPr>
              <w:rPr>
                <w:rFonts w:ascii="宋体" w:hAnsi="宋体" w:cs="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517466">
            <w:pPr>
              <w:rPr>
                <w:rFonts w:ascii="宋体" w:hAnsi="宋体" w:cs="宋体"/>
                <w:color w:val="000000"/>
                <w:sz w:val="24"/>
              </w:rPr>
            </w:pPr>
          </w:p>
        </w:tc>
      </w:tr>
      <w:tr w14:paraId="29502050">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F58690">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0340F3">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F279C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A873E">
            <w:pPr>
              <w:widowControl/>
              <w:jc w:val="left"/>
              <w:textAlignment w:val="center"/>
              <w:rPr>
                <w:rFonts w:ascii="宋体" w:hAnsi="宋体" w:cs="宋体"/>
                <w:color w:val="000000"/>
                <w:sz w:val="24"/>
              </w:rPr>
            </w:pPr>
            <w:r>
              <w:rPr>
                <w:rFonts w:hint="eastAsia" w:ascii="宋体" w:hAnsi="宋体" w:cs="宋体"/>
                <w:color w:val="000000"/>
                <w:kern w:val="0"/>
                <w:sz w:val="20"/>
                <w:szCs w:val="20"/>
              </w:rPr>
              <w:t xml:space="preserve"> 指标1：基本农田保护工作</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CF4D76">
            <w:pPr>
              <w:widowControl/>
              <w:jc w:val="left"/>
              <w:textAlignment w:val="center"/>
              <w:rPr>
                <w:rFonts w:ascii="宋体" w:hAnsi="宋体" w:cs="宋体"/>
                <w:color w:val="000000"/>
                <w:sz w:val="24"/>
              </w:rPr>
            </w:pPr>
            <w:r>
              <w:rPr>
                <w:rFonts w:hint="eastAsia" w:ascii="宋体" w:hAnsi="宋体" w:cs="宋体"/>
                <w:color w:val="000000"/>
                <w:kern w:val="0"/>
                <w:sz w:val="20"/>
                <w:szCs w:val="20"/>
              </w:rPr>
              <w:t>达到管委会要求</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F4C585">
            <w:pPr>
              <w:widowControl/>
              <w:jc w:val="left"/>
              <w:textAlignment w:val="center"/>
              <w:rPr>
                <w:rFonts w:ascii="宋体" w:hAnsi="宋体" w:cs="宋体"/>
                <w:color w:val="000000"/>
                <w:sz w:val="24"/>
              </w:rPr>
            </w:pPr>
            <w:r>
              <w:rPr>
                <w:rFonts w:hint="eastAsia" w:ascii="宋体" w:hAnsi="宋体" w:cs="宋体"/>
                <w:color w:val="000000"/>
                <w:kern w:val="0"/>
                <w:sz w:val="20"/>
                <w:szCs w:val="20"/>
              </w:rPr>
              <w:t>达到管委会要求</w:t>
            </w:r>
          </w:p>
        </w:tc>
      </w:tr>
    </w:tbl>
    <w:p w14:paraId="0014D0DD">
      <w:pPr>
        <w:spacing w:line="580" w:lineRule="exact"/>
        <w:ind w:firstLine="472" w:firstLineChars="147"/>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14:paraId="222F25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本部门按要求对2018年部门整体支出绩效评价情况开展自评，《乐山高新技术产业开发区土地储备中心2018年部门整体支出绩效评价报告》见附件。</w:t>
      </w:r>
    </w:p>
    <w:p w14:paraId="0FDC696C">
      <w:pPr>
        <w:spacing w:line="600" w:lineRule="exact"/>
        <w:ind w:firstLine="800" w:firstLineChars="250"/>
        <w:outlineLvl w:val="1"/>
        <w:rPr>
          <w:rStyle w:val="17"/>
          <w:rFonts w:ascii="黑体" w:hAnsi="黑体" w:eastAsia="黑体"/>
        </w:rPr>
      </w:pPr>
      <w:bookmarkStart w:id="46" w:name="_Toc15377221"/>
      <w:bookmarkStart w:id="47"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46"/>
      <w:bookmarkEnd w:id="47"/>
    </w:p>
    <w:p w14:paraId="35962B27">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14:paraId="740B7F93">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8年，高新区土地储备中心机关运行经费支出0万元,</w:t>
      </w:r>
      <w:r>
        <w:rPr>
          <w:rFonts w:hint="eastAsia" w:ascii="仿宋_GB2312" w:eastAsia="仿宋_GB2312"/>
          <w:color w:val="000000" w:themeColor="text1"/>
          <w:sz w:val="32"/>
          <w:szCs w:val="32"/>
        </w:rPr>
        <w:t>主要原因是机关厉行节约，严格把控经费支出。</w:t>
      </w:r>
    </w:p>
    <w:p w14:paraId="54490FC6">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14:paraId="27F1BDF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14:paraId="4FB9B830">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8年，高新区土地储备中心政府采购支出总额63.61万元，其中：政府采购货物支出0.12万元、政府采购工程支出0万元、政府采购服务支出63.49万元。</w:t>
      </w:r>
    </w:p>
    <w:p w14:paraId="2F6DECC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14:paraId="77B9992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14:paraId="3CF6873C">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日，高新区土地储备中心共有车辆0辆。</w:t>
      </w:r>
    </w:p>
    <w:p w14:paraId="1E94A3C3">
      <w:pPr>
        <w:rPr>
          <w:rFonts w:ascii="Calibri" w:hAnsi="Calibri"/>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14:paraId="149BD957">
      <w:pPr>
        <w:tabs>
          <w:tab w:val="left" w:pos="312"/>
        </w:tabs>
        <w:spacing w:line="580" w:lineRule="exact"/>
        <w:rPr>
          <w:rFonts w:ascii="仿宋_GB2312" w:hAnsi="仿宋_GB2312" w:eastAsia="仿宋_GB2312" w:cs="仿宋_GB2312"/>
          <w:sz w:val="32"/>
          <w:szCs w:val="32"/>
        </w:rPr>
      </w:pPr>
    </w:p>
    <w:p w14:paraId="1B3E80F8"/>
    <w:p w14:paraId="0576A0C2"/>
    <w:p w14:paraId="193D15F8"/>
    <w:p w14:paraId="1D882C52"/>
    <w:p w14:paraId="43E55B50"/>
    <w:p w14:paraId="290BA1A5"/>
    <w:p w14:paraId="2341027A"/>
    <w:p w14:paraId="21DB541A"/>
    <w:p w14:paraId="5CB3F72E"/>
    <w:p w14:paraId="10CFE298"/>
    <w:p w14:paraId="458F9082"/>
    <w:p w14:paraId="4FD0ECE9"/>
    <w:p w14:paraId="7A6F5E44"/>
    <w:p w14:paraId="720F37B9"/>
    <w:p w14:paraId="23AB6F63"/>
    <w:p w14:paraId="5C1DE9E5"/>
    <w:p w14:paraId="7DA311A9"/>
    <w:p w14:paraId="0EE432BC"/>
    <w:p w14:paraId="34DD6DF9"/>
    <w:p w14:paraId="4100891D"/>
    <w:p w14:paraId="31658458"/>
    <w:p w14:paraId="32DE882E"/>
    <w:p w14:paraId="0998CC92"/>
    <w:p w14:paraId="3CEA180F"/>
    <w:p w14:paraId="05B65D45"/>
    <w:p w14:paraId="2A632E03"/>
    <w:p w14:paraId="1E771B03"/>
    <w:p w14:paraId="490EAFC2"/>
    <w:p w14:paraId="3C7FCF78"/>
    <w:p w14:paraId="0FFE60D7"/>
    <w:p w14:paraId="059B5B85"/>
    <w:p w14:paraId="52505D01"/>
    <w:p w14:paraId="4EFE9B94"/>
    <w:p w14:paraId="4C998C1D">
      <w:pPr>
        <w:numPr>
          <w:ilvl w:val="0"/>
          <w:numId w:val="8"/>
        </w:numPr>
        <w:spacing w:line="600" w:lineRule="exact"/>
        <w:ind w:firstLine="663" w:firstLineChars="150"/>
        <w:jc w:val="center"/>
        <w:outlineLvl w:val="0"/>
        <w:rPr>
          <w:rStyle w:val="16"/>
          <w:rFonts w:ascii="黑体" w:hAnsi="黑体" w:eastAsia="黑体"/>
          <w:b w:val="0"/>
        </w:rPr>
      </w:pPr>
      <w:bookmarkStart w:id="51" w:name="_Toc15396613"/>
      <w:bookmarkStart w:id="52"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1"/>
      <w:bookmarkEnd w:id="52"/>
    </w:p>
    <w:p w14:paraId="02617B60">
      <w:pPr>
        <w:spacing w:line="600" w:lineRule="exact"/>
        <w:jc w:val="left"/>
        <w:rPr>
          <w:rFonts w:ascii="宋体"/>
          <w:b/>
          <w:color w:val="000000"/>
          <w:sz w:val="44"/>
          <w:szCs w:val="44"/>
        </w:rPr>
      </w:pPr>
    </w:p>
    <w:p w14:paraId="472BB26D">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9CD0748">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14:paraId="380718A5">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14:paraId="2533ED8E">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4.节能环保支出（类）污染防治（款）水体（项）:用于支付污水处理费。</w:t>
      </w:r>
    </w:p>
    <w:p w14:paraId="69A2CE27">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5.城乡社区支出（类）城乡社区公共设施（款）其他城乡社区公共设施支出（项）:用于城乡社区公共设施项目。</w:t>
      </w:r>
    </w:p>
    <w:p w14:paraId="0112A3B6">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6.国土海洋气象等支出（类）国土资源事务（款）土地资源调查（项）:指用于土地资源调查评价、土地利用变更调查、地籍调查等方面的支出。</w:t>
      </w:r>
    </w:p>
    <w:p w14:paraId="0E3CBA37">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7.国土海洋气象等支出（类）国土资源事务（款）土地资源储备支出（项）:指用于土地资源调查评价、土地利用变更调查、地籍调查等方面的支出。</w:t>
      </w:r>
    </w:p>
    <w:p w14:paraId="13331963">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8.国土海洋气象等支出（类）国土资源事务（款）事业运行（项）:指事业单位的基本支出，不包括行政单位（包括实行公务员管理的事业单位）后勤服务中心、医务室等附属事业单位。</w:t>
      </w:r>
    </w:p>
    <w:p w14:paraId="6D2C4424">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9.其他支出（类）其他支出（款）其他支出（项）:用于其他的支出。</w:t>
      </w:r>
    </w:p>
    <w:p w14:paraId="09824CDB">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10.债务付息支出（类）地方政府一般债务付息支出（款）地方政府一般债券付息支出（项）：反应地方政府归还一般债券利息所产生的支出。</w:t>
      </w:r>
    </w:p>
    <w:p w14:paraId="48CB4504">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14:paraId="70B0D43C">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95D33C7">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0D61A8BB">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188169EC">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23EA3B7">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873C70">
      <w:pPr>
        <w:pStyle w:val="20"/>
        <w:spacing w:line="560" w:lineRule="exact"/>
        <w:ind w:firstLine="640" w:firstLineChars="200"/>
        <w:rPr>
          <w:rFonts w:ascii="仿宋_GB2312" w:eastAsia="仿宋_GB2312" w:cs="黑体"/>
          <w:sz w:val="32"/>
          <w:szCs w:val="32"/>
        </w:rPr>
      </w:pPr>
    </w:p>
    <w:p w14:paraId="0DFB4976">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62F13961">
      <w:pPr>
        <w:spacing w:line="600" w:lineRule="exact"/>
        <w:jc w:val="center"/>
        <w:outlineLvl w:val="0"/>
        <w:rPr>
          <w:rStyle w:val="16"/>
          <w:rFonts w:ascii="黑体" w:hAnsi="黑体" w:eastAsia="黑体"/>
          <w:b w:val="0"/>
        </w:rPr>
      </w:pPr>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16"/>
          <w:rFonts w:hint="eastAsia" w:ascii="黑体" w:hAnsi="黑体" w:eastAsia="黑体"/>
          <w:b w:val="0"/>
        </w:rPr>
        <w:t>四部分 附件</w:t>
      </w:r>
      <w:bookmarkEnd w:id="53"/>
    </w:p>
    <w:p w14:paraId="695E9809">
      <w:pPr>
        <w:spacing w:line="540" w:lineRule="exact"/>
        <w:rPr>
          <w:rFonts w:ascii="黑体" w:hAnsi="宋体" w:eastAsia="黑体"/>
          <w:szCs w:val="32"/>
          <w:lang w:val="zh-CN"/>
        </w:rPr>
      </w:pPr>
    </w:p>
    <w:p w14:paraId="54881952">
      <w:pPr>
        <w:spacing w:line="540" w:lineRule="exact"/>
        <w:ind w:firstLine="420"/>
        <w:rPr>
          <w:rFonts w:ascii="黑体" w:hAnsi="宋体" w:eastAsia="黑体"/>
          <w:szCs w:val="32"/>
          <w:lang w:val="zh-CN"/>
        </w:rPr>
      </w:pPr>
    </w:p>
    <w:p w14:paraId="2C1DF7EF">
      <w:pPr>
        <w:pStyle w:val="21"/>
        <w:rPr>
          <w:shd w:val="clear" w:color="auto" w:fill="FFFFFF"/>
        </w:rPr>
      </w:pPr>
      <w:r>
        <w:rPr>
          <w:rFonts w:hint="eastAsia"/>
          <w:shd w:val="clear" w:color="auto" w:fill="FFFFFF"/>
        </w:rPr>
        <w:t>乐山高新技术产业开发区土地储备中心</w:t>
      </w:r>
    </w:p>
    <w:p w14:paraId="16695A35">
      <w:pPr>
        <w:pStyle w:val="21"/>
        <w:rPr>
          <w:shd w:val="clear" w:color="auto" w:fill="FFFFFF"/>
        </w:rPr>
      </w:pPr>
      <w:r>
        <w:rPr>
          <w:rFonts w:hint="eastAsia"/>
          <w:shd w:val="clear" w:color="auto" w:fill="FFFFFF"/>
        </w:rPr>
        <w:t>整体支出绩效报告</w:t>
      </w:r>
    </w:p>
    <w:p w14:paraId="36615EAA">
      <w:pPr>
        <w:widowControl/>
        <w:numPr>
          <w:ilvl w:val="0"/>
          <w:numId w:val="9"/>
        </w:numPr>
        <w:spacing w:line="540" w:lineRule="exact"/>
        <w:jc w:val="center"/>
        <w:rPr>
          <w:rFonts w:ascii="仿宋_GB2312" w:hAnsi="宋体"/>
          <w:szCs w:val="32"/>
          <w:shd w:val="clear" w:color="auto" w:fill="FFFFFF"/>
        </w:rPr>
      </w:pPr>
    </w:p>
    <w:p w14:paraId="58481B85">
      <w:pPr>
        <w:widowControl/>
        <w:adjustRightInd w:val="0"/>
        <w:snapToGrid w:val="0"/>
        <w:spacing w:line="540" w:lineRule="exact"/>
        <w:ind w:firstLine="720"/>
        <w:jc w:val="left"/>
        <w:rPr>
          <w:rFonts w:ascii="黑体" w:hAnsi="宋体" w:eastAsia="黑体" w:cs="宋体"/>
          <w:color w:val="000000"/>
          <w:kern w:val="0"/>
          <w:sz w:val="24"/>
          <w:szCs w:val="32"/>
          <w:shd w:val="clear" w:color="auto" w:fill="FFFFFF"/>
        </w:rPr>
      </w:pPr>
    </w:p>
    <w:p w14:paraId="260C2757">
      <w:pPr>
        <w:pStyle w:val="22"/>
        <w:numPr>
          <w:ilvl w:val="0"/>
          <w:numId w:val="0"/>
        </w:numPr>
        <w:rPr>
          <w:shd w:val="clear" w:color="auto" w:fill="FFFFFF"/>
          <w:lang w:val="zh-CN"/>
        </w:rPr>
      </w:pPr>
      <w:r>
        <w:rPr>
          <w:rFonts w:hint="eastAsia"/>
          <w:shd w:val="clear" w:color="auto" w:fill="FFFFFF"/>
          <w:lang w:val="zh-CN"/>
        </w:rPr>
        <w:t>一、单位概况</w:t>
      </w:r>
    </w:p>
    <w:p w14:paraId="3A345A73">
      <w:pPr>
        <w:pStyle w:val="23"/>
        <w:rPr>
          <w:shd w:val="clear" w:color="auto" w:fill="FFFFFF"/>
        </w:rPr>
      </w:pPr>
      <w:r>
        <w:rPr>
          <w:rFonts w:hint="eastAsia"/>
          <w:shd w:val="clear" w:color="auto" w:fill="FFFFFF"/>
        </w:rPr>
        <w:t>机构组成。</w:t>
      </w:r>
      <w:r>
        <w:rPr>
          <w:rFonts w:hint="eastAsia" w:ascii="仿宋_GB2312" w:hAnsi="仿宋" w:eastAsia="仿宋_GB2312"/>
          <w:bCs/>
          <w:color w:val="000000"/>
          <w:kern w:val="0"/>
          <w:szCs w:val="32"/>
          <w:lang w:val="en-US"/>
        </w:rPr>
        <w:t>乐山高新技术产业开发区土地储备中心（以下简称：高新区土地储备中心）属于高新区一级预算单位，参照其他事业单位管理办法进行管理，无下属二级预算单位。</w:t>
      </w:r>
    </w:p>
    <w:p w14:paraId="6F1199E4">
      <w:pPr>
        <w:pStyle w:val="23"/>
      </w:pPr>
      <w:r>
        <w:rPr>
          <w:rFonts w:hint="eastAsia"/>
          <w:shd w:val="clear" w:color="auto" w:fill="FFFFFF"/>
        </w:rPr>
        <w:t>机构职能。</w:t>
      </w:r>
      <w:r>
        <w:rPr>
          <w:rFonts w:hint="eastAsia" w:ascii="仿宋_GB2312" w:hAnsi="仿宋" w:eastAsia="仿宋_GB2312"/>
          <w:bCs/>
          <w:color w:val="000000"/>
          <w:kern w:val="0"/>
          <w:szCs w:val="32"/>
          <w:lang w:val="en-US"/>
        </w:rPr>
        <w:t>高新区土地储备中心主要负责：做好高新区土地储备工作，并负责园区基础设施建设和维护</w:t>
      </w:r>
      <w:r>
        <w:rPr>
          <w:rFonts w:hint="eastAsia" w:hAnsi="仿宋"/>
          <w:bCs/>
          <w:color w:val="000000"/>
          <w:kern w:val="0"/>
          <w:szCs w:val="32"/>
          <w:lang w:val="en-US"/>
        </w:rPr>
        <w:t>。</w:t>
      </w:r>
      <w:r>
        <w:rPr>
          <w:rFonts w:hint="eastAsia" w:ascii="仿宋_GB2312" w:hAnsi="仿宋" w:eastAsia="仿宋_GB2312"/>
          <w:bCs/>
          <w:color w:val="000000"/>
          <w:kern w:val="0"/>
          <w:szCs w:val="32"/>
          <w:lang w:val="en-US"/>
        </w:rPr>
        <w:t>促进高新区的建设和发展，负责高新区内土地的收回、收购、置换、征用并进行前期开发、整理、储备等工作，并承担党工委、管委会交办的其他工作任务。2018年重点工作为征地、拆迁安置、园区基础设施建设等。切实做好土地储备专项债券发行工作，加强土地市场动态监测与监管，完成土地收储任务。做好高新区发行土地专项债券涉及的土地收储工作。做好金子塔、盐业公司等企业的土地收储工作，加强土地市场动态监测与监管，完成土地收储任务。</w:t>
      </w:r>
    </w:p>
    <w:p w14:paraId="7BBEC767">
      <w:pPr>
        <w:pStyle w:val="23"/>
        <w:rPr>
          <w:shd w:val="clear" w:color="auto" w:fill="FFFFFF"/>
        </w:rPr>
      </w:pPr>
      <w:r>
        <w:rPr>
          <w:rFonts w:hint="eastAsia"/>
          <w:shd w:val="clear" w:color="auto" w:fill="FFFFFF"/>
        </w:rPr>
        <w:t>人员概况。</w:t>
      </w:r>
      <w:r>
        <w:rPr>
          <w:rFonts w:hint="eastAsia" w:ascii="Calibri" w:eastAsia="仿宋_GB2312"/>
          <w:sz w:val="30"/>
          <w:szCs w:val="30"/>
        </w:rPr>
        <w:t>2018年编制人数为</w:t>
      </w:r>
      <w:r>
        <w:rPr>
          <w:rFonts w:hint="eastAsia" w:ascii="Calibri" w:eastAsia="仿宋_GB2312"/>
          <w:sz w:val="30"/>
          <w:szCs w:val="30"/>
          <w:lang w:val="en-US"/>
        </w:rPr>
        <w:t>7</w:t>
      </w:r>
      <w:r>
        <w:rPr>
          <w:rFonts w:hint="eastAsia" w:ascii="Calibri" w:eastAsia="仿宋_GB2312"/>
          <w:sz w:val="30"/>
          <w:szCs w:val="30"/>
        </w:rPr>
        <w:t>人，其中行政编制为0人，事业编制为</w:t>
      </w:r>
      <w:r>
        <w:rPr>
          <w:rFonts w:hint="eastAsia" w:ascii="Calibri" w:eastAsia="仿宋_GB2312"/>
          <w:sz w:val="30"/>
          <w:szCs w:val="30"/>
          <w:lang w:val="en-US"/>
        </w:rPr>
        <w:t>7</w:t>
      </w:r>
      <w:r>
        <w:rPr>
          <w:rFonts w:hint="eastAsia" w:ascii="Calibri" w:eastAsia="仿宋_GB2312"/>
          <w:sz w:val="30"/>
          <w:szCs w:val="30"/>
        </w:rPr>
        <w:t>人。年末实有人数共有</w:t>
      </w:r>
      <w:r>
        <w:rPr>
          <w:rFonts w:hint="eastAsia" w:ascii="Calibri" w:eastAsia="仿宋_GB2312"/>
          <w:sz w:val="30"/>
          <w:szCs w:val="30"/>
          <w:lang w:val="en-US"/>
        </w:rPr>
        <w:t>6</w:t>
      </w:r>
      <w:r>
        <w:rPr>
          <w:rFonts w:hint="eastAsia" w:ascii="Calibri" w:eastAsia="仿宋_GB2312"/>
          <w:sz w:val="30"/>
          <w:szCs w:val="30"/>
        </w:rPr>
        <w:t>人，实有行政人员为0人，实有事业人员为</w:t>
      </w:r>
      <w:r>
        <w:rPr>
          <w:rFonts w:hint="eastAsia" w:ascii="Calibri" w:eastAsia="仿宋_GB2312"/>
          <w:sz w:val="30"/>
          <w:szCs w:val="30"/>
          <w:lang w:val="en-US"/>
        </w:rPr>
        <w:t>6</w:t>
      </w:r>
      <w:r>
        <w:rPr>
          <w:rFonts w:hint="eastAsia" w:ascii="Calibri" w:eastAsia="仿宋_GB2312"/>
          <w:sz w:val="30"/>
          <w:szCs w:val="30"/>
        </w:rPr>
        <w:t>人，实有聘用人员</w:t>
      </w:r>
      <w:r>
        <w:rPr>
          <w:rFonts w:hint="eastAsia" w:ascii="Calibri" w:eastAsia="仿宋_GB2312"/>
          <w:sz w:val="30"/>
          <w:szCs w:val="30"/>
          <w:lang w:val="en-US"/>
        </w:rPr>
        <w:t>0</w:t>
      </w:r>
      <w:r>
        <w:rPr>
          <w:rFonts w:hint="eastAsia" w:ascii="Calibri" w:eastAsia="仿宋_GB2312"/>
          <w:sz w:val="30"/>
          <w:szCs w:val="30"/>
        </w:rPr>
        <w:t>人，实有企业混岗人员</w:t>
      </w:r>
      <w:r>
        <w:rPr>
          <w:rFonts w:hint="eastAsia" w:ascii="Calibri" w:eastAsia="仿宋_GB2312"/>
          <w:sz w:val="30"/>
          <w:szCs w:val="30"/>
          <w:lang w:val="en-US"/>
        </w:rPr>
        <w:t>0</w:t>
      </w:r>
      <w:r>
        <w:rPr>
          <w:rFonts w:hint="eastAsia" w:ascii="Calibri" w:eastAsia="仿宋_GB2312"/>
          <w:sz w:val="30"/>
          <w:szCs w:val="30"/>
        </w:rPr>
        <w:t>人。</w:t>
      </w:r>
    </w:p>
    <w:p w14:paraId="26C30364">
      <w:pPr>
        <w:pStyle w:val="22"/>
        <w:numPr>
          <w:ilvl w:val="0"/>
          <w:numId w:val="0"/>
        </w:numPr>
        <w:rPr>
          <w:shd w:val="clear" w:color="auto" w:fill="FFFFFF"/>
          <w:lang w:val="zh-CN"/>
        </w:rPr>
      </w:pPr>
      <w:r>
        <w:rPr>
          <w:rFonts w:hint="eastAsia"/>
          <w:shd w:val="clear" w:color="auto" w:fill="FFFFFF"/>
          <w:lang w:val="zh-CN"/>
        </w:rPr>
        <w:t>二、部门财政资金收支情况</w:t>
      </w:r>
    </w:p>
    <w:p w14:paraId="0588D74C">
      <w:pPr>
        <w:pStyle w:val="23"/>
        <w:numPr>
          <w:ilvl w:val="0"/>
          <w:numId w:val="10"/>
        </w:numPr>
        <w:rPr>
          <w:shd w:val="clear" w:color="auto" w:fill="FFFFFF"/>
        </w:rPr>
      </w:pPr>
      <w:r>
        <w:rPr>
          <w:rFonts w:hint="eastAsia"/>
          <w:shd w:val="clear" w:color="auto" w:fill="FFFFFF"/>
        </w:rPr>
        <w:t>部门财政资金收入情况。</w:t>
      </w:r>
      <w:r>
        <w:rPr>
          <w:rFonts w:hint="eastAsia" w:ascii="仿宋_GB2312" w:eastAsia="仿宋_GB2312"/>
          <w:sz w:val="30"/>
          <w:szCs w:val="30"/>
        </w:rPr>
        <w:t>本单位2018年财政总收入</w:t>
      </w:r>
      <w:r>
        <w:rPr>
          <w:rFonts w:hint="eastAsia" w:ascii="仿宋_GB2312" w:eastAsia="仿宋_GB2312"/>
          <w:sz w:val="30"/>
          <w:szCs w:val="30"/>
          <w:lang w:val="en-US"/>
        </w:rPr>
        <w:t>69123.96万</w:t>
      </w:r>
      <w:r>
        <w:rPr>
          <w:rFonts w:hint="eastAsia" w:ascii="仿宋_GB2312" w:eastAsia="仿宋_GB2312"/>
          <w:sz w:val="30"/>
          <w:szCs w:val="30"/>
        </w:rPr>
        <w:t>元，其中财政拨款收入</w:t>
      </w:r>
      <w:r>
        <w:rPr>
          <w:rFonts w:hint="eastAsia" w:ascii="仿宋_GB2312" w:eastAsia="仿宋_GB2312"/>
          <w:sz w:val="30"/>
          <w:szCs w:val="30"/>
          <w:lang w:val="en-US"/>
        </w:rPr>
        <w:t>32143.96万</w:t>
      </w:r>
      <w:r>
        <w:rPr>
          <w:rFonts w:hint="eastAsia" w:ascii="仿宋_GB2312" w:eastAsia="仿宋_GB2312"/>
          <w:sz w:val="30"/>
          <w:szCs w:val="30"/>
        </w:rPr>
        <w:t>元；</w:t>
      </w:r>
      <w:r>
        <w:rPr>
          <w:rFonts w:hint="eastAsia" w:ascii="仿宋_GB2312" w:eastAsia="仿宋_GB2312"/>
          <w:sz w:val="30"/>
          <w:szCs w:val="30"/>
          <w:lang w:val="en-US"/>
        </w:rPr>
        <w:t>其他收入36980.00万元</w:t>
      </w:r>
      <w:r>
        <w:rPr>
          <w:rFonts w:hint="eastAsia" w:ascii="仿宋_GB2312" w:eastAsia="仿宋_GB2312"/>
          <w:sz w:val="30"/>
          <w:szCs w:val="30"/>
        </w:rPr>
        <w:t>。</w:t>
      </w:r>
    </w:p>
    <w:p w14:paraId="0C381337">
      <w:pPr>
        <w:pStyle w:val="23"/>
        <w:rPr>
          <w:shd w:val="clear" w:color="auto" w:fill="FFFFFF"/>
        </w:rPr>
      </w:pPr>
      <w:r>
        <w:rPr>
          <w:rFonts w:hint="eastAsia"/>
          <w:shd w:val="clear" w:color="auto" w:fill="FFFFFF"/>
        </w:rPr>
        <w:t>部门财政资金支出情况。</w:t>
      </w:r>
      <w:r>
        <w:rPr>
          <w:rFonts w:hint="eastAsia" w:ascii="仿宋_GB2312" w:eastAsia="仿宋_GB2312"/>
          <w:sz w:val="30"/>
          <w:szCs w:val="30"/>
        </w:rPr>
        <w:t>本单位2018年总支出</w:t>
      </w:r>
      <w:r>
        <w:rPr>
          <w:rFonts w:hint="eastAsia" w:ascii="仿宋_GB2312" w:eastAsia="仿宋_GB2312"/>
          <w:sz w:val="30"/>
          <w:szCs w:val="30"/>
          <w:lang w:val="en-US"/>
        </w:rPr>
        <w:t>80659.64万</w:t>
      </w:r>
      <w:r>
        <w:rPr>
          <w:rFonts w:hint="eastAsia" w:ascii="仿宋_GB2312" w:eastAsia="仿宋_GB2312"/>
          <w:sz w:val="30"/>
          <w:szCs w:val="30"/>
        </w:rPr>
        <w:t>元，其中</w:t>
      </w:r>
      <w:r>
        <w:rPr>
          <w:rFonts w:hint="eastAsia" w:ascii="仿宋_GB2312" w:eastAsia="仿宋_GB2312"/>
          <w:sz w:val="30"/>
          <w:szCs w:val="30"/>
          <w:lang w:val="en-US"/>
        </w:rPr>
        <w:t>节能环保支出44.88万元；城乡社区支出45317.98万元；国土海洋气象支出211.92万元；其他支出2180.17万元；债务还本支出36980.00万元；债务付息支出1924.69万元</w:t>
      </w:r>
      <w:r>
        <w:rPr>
          <w:rFonts w:hint="eastAsia" w:ascii="仿宋_GB2312" w:eastAsia="仿宋_GB2312"/>
          <w:sz w:val="30"/>
          <w:szCs w:val="30"/>
        </w:rPr>
        <w:t>。</w:t>
      </w:r>
    </w:p>
    <w:p w14:paraId="4E59F607">
      <w:pPr>
        <w:pStyle w:val="23"/>
        <w:numPr>
          <w:ilvl w:val="0"/>
          <w:numId w:val="0"/>
        </w:numPr>
        <w:rPr>
          <w:rFonts w:ascii="黑体" w:eastAsia="黑体"/>
          <w:szCs w:val="32"/>
          <w:shd w:val="clear" w:color="auto" w:fill="FFFFFF"/>
        </w:rPr>
      </w:pPr>
      <w:r>
        <w:rPr>
          <w:rFonts w:hint="eastAsia" w:ascii="黑体" w:eastAsia="黑体"/>
          <w:szCs w:val="32"/>
          <w:shd w:val="clear" w:color="auto" w:fill="FFFFFF"/>
        </w:rPr>
        <w:t>三、部门财政支出管理情况</w:t>
      </w:r>
    </w:p>
    <w:p w14:paraId="682E9FDE">
      <w:pPr>
        <w:pStyle w:val="23"/>
        <w:numPr>
          <w:ilvl w:val="0"/>
          <w:numId w:val="11"/>
        </w:numPr>
        <w:rPr>
          <w:shd w:val="clear" w:color="auto" w:fill="FFFFFF"/>
        </w:rPr>
      </w:pPr>
      <w:r>
        <w:rPr>
          <w:rFonts w:hint="eastAsia"/>
          <w:shd w:val="clear" w:color="auto" w:fill="FFFFFF"/>
        </w:rPr>
        <w:t>预决算编制情况。</w:t>
      </w:r>
    </w:p>
    <w:p w14:paraId="4D427817">
      <w:pPr>
        <w:pStyle w:val="23"/>
        <w:numPr>
          <w:ilvl w:val="1"/>
          <w:numId w:val="11"/>
        </w:numPr>
        <w:rPr>
          <w:rFonts w:ascii="仿宋_GB2312" w:eastAsia="仿宋_GB2312"/>
          <w:sz w:val="30"/>
          <w:szCs w:val="30"/>
        </w:rPr>
      </w:pPr>
      <w:r>
        <w:rPr>
          <w:rFonts w:hint="eastAsia" w:ascii="仿宋_GB2312" w:eastAsia="仿宋_GB2312"/>
          <w:sz w:val="30"/>
          <w:szCs w:val="30"/>
        </w:rPr>
        <w:t>本单位严格根据国家有关方针、政策，按照上级下达的事业计划、任务，本着收支平衡的原则，编制预算。</w:t>
      </w:r>
    </w:p>
    <w:p w14:paraId="2FDCBECC">
      <w:pPr>
        <w:pStyle w:val="23"/>
        <w:numPr>
          <w:ilvl w:val="1"/>
          <w:numId w:val="11"/>
        </w:numPr>
        <w:rPr>
          <w:rFonts w:ascii="仿宋_GB2312" w:eastAsia="仿宋_GB2312"/>
          <w:sz w:val="30"/>
          <w:szCs w:val="30"/>
        </w:rPr>
      </w:pPr>
      <w:r>
        <w:rPr>
          <w:rFonts w:hint="eastAsia" w:ascii="仿宋_GB2312" w:eastAsia="仿宋_GB2312"/>
          <w:sz w:val="30"/>
          <w:szCs w:val="30"/>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6A31C64A">
      <w:pPr>
        <w:pStyle w:val="23"/>
        <w:numPr>
          <w:ilvl w:val="1"/>
          <w:numId w:val="11"/>
        </w:numPr>
        <w:rPr>
          <w:rFonts w:ascii="仿宋_GB2312" w:eastAsia="仿宋_GB2312"/>
          <w:sz w:val="30"/>
          <w:szCs w:val="30"/>
        </w:rPr>
      </w:pPr>
      <w:r>
        <w:rPr>
          <w:rFonts w:hint="eastAsia" w:ascii="仿宋_GB2312" w:eastAsia="仿宋_GB2312"/>
          <w:sz w:val="30"/>
          <w:szCs w:val="30"/>
        </w:rPr>
        <w:t>本单位在预决算编制过程中全面实行项目及总体绩效评价目标填报。</w:t>
      </w:r>
    </w:p>
    <w:p w14:paraId="47FCFF52">
      <w:pPr>
        <w:pStyle w:val="23"/>
        <w:numPr>
          <w:ilvl w:val="0"/>
          <w:numId w:val="11"/>
        </w:numPr>
        <w:rPr>
          <w:shd w:val="clear" w:color="auto" w:fill="FFFFFF"/>
        </w:rPr>
      </w:pPr>
      <w:r>
        <w:rPr>
          <w:rFonts w:hint="eastAsia"/>
          <w:shd w:val="clear" w:color="auto" w:fill="FFFFFF"/>
        </w:rPr>
        <w:t>执行管理情况</w:t>
      </w:r>
    </w:p>
    <w:p w14:paraId="005E6FEB">
      <w:pPr>
        <w:pStyle w:val="23"/>
        <w:numPr>
          <w:ilvl w:val="1"/>
          <w:numId w:val="11"/>
        </w:numPr>
        <w:rPr>
          <w:rFonts w:ascii="仿宋_GB2312" w:hAnsi="仿宋" w:eastAsia="仿宋_GB2312"/>
          <w:sz w:val="30"/>
          <w:szCs w:val="30"/>
          <w:lang w:val="en-US"/>
        </w:rPr>
      </w:pPr>
      <w:r>
        <w:rPr>
          <w:rFonts w:hint="eastAsia" w:ascii="仿宋_GB2312" w:hAnsi="仿宋" w:eastAsia="仿宋_GB2312"/>
          <w:sz w:val="30"/>
          <w:szCs w:val="30"/>
          <w:lang w:val="en-US"/>
        </w:rPr>
        <w:t>本单位严格按照预决算管理制度执行，依法依规及时分配上级专项资金，专项资金使用完成情况100%。</w:t>
      </w:r>
    </w:p>
    <w:p w14:paraId="7330C95F">
      <w:pPr>
        <w:pStyle w:val="23"/>
        <w:numPr>
          <w:ilvl w:val="1"/>
          <w:numId w:val="11"/>
        </w:numPr>
        <w:rPr>
          <w:rFonts w:ascii="仿宋_GB2312" w:hAnsi="仿宋" w:eastAsia="仿宋_GB2312"/>
          <w:sz w:val="30"/>
          <w:szCs w:val="30"/>
          <w:lang w:val="en-US"/>
        </w:rPr>
      </w:pPr>
      <w:r>
        <w:rPr>
          <w:rFonts w:hint="eastAsia" w:ascii="仿宋_GB2312" w:hAnsi="仿宋" w:eastAsia="仿宋_GB2312"/>
          <w:sz w:val="30"/>
          <w:szCs w:val="30"/>
          <w:lang w:val="en-US"/>
        </w:rPr>
        <w:t>严格按照“中央八项规定”等政策文件的规定开展日常工作。“三公”经费零支出。</w:t>
      </w:r>
    </w:p>
    <w:p w14:paraId="0A9BF252">
      <w:pPr>
        <w:pStyle w:val="23"/>
        <w:numPr>
          <w:ilvl w:val="1"/>
          <w:numId w:val="11"/>
        </w:numPr>
        <w:rPr>
          <w:rFonts w:ascii="仿宋_GB2312" w:hAnsi="仿宋" w:eastAsia="仿宋_GB2312"/>
          <w:sz w:val="30"/>
          <w:szCs w:val="30"/>
          <w:lang w:val="en-US"/>
        </w:rPr>
      </w:pPr>
      <w:r>
        <w:rPr>
          <w:rFonts w:hint="eastAsia" w:ascii="仿宋_GB2312" w:hAnsi="仿宋" w:eastAsia="仿宋_GB2312"/>
          <w:sz w:val="30"/>
          <w:szCs w:val="30"/>
          <w:lang w:val="en-US"/>
        </w:rPr>
        <w:t>部门预算执行进度偏慢。因受年度项目完整性影响，项目预算执行有下半年集中支付的现象。</w:t>
      </w:r>
    </w:p>
    <w:p w14:paraId="487DB30E">
      <w:pPr>
        <w:pStyle w:val="23"/>
        <w:numPr>
          <w:ilvl w:val="0"/>
          <w:numId w:val="11"/>
        </w:numPr>
        <w:rPr>
          <w:rFonts w:ascii="仿宋_GB2312"/>
          <w:sz w:val="30"/>
          <w:szCs w:val="30"/>
        </w:rPr>
      </w:pPr>
      <w:r>
        <w:rPr>
          <w:rFonts w:hint="eastAsia" w:ascii="仿宋_GB2312"/>
          <w:sz w:val="30"/>
          <w:szCs w:val="30"/>
        </w:rPr>
        <w:t>综合管理情况</w:t>
      </w:r>
    </w:p>
    <w:p w14:paraId="1B1F866D">
      <w:pPr>
        <w:pStyle w:val="23"/>
        <w:numPr>
          <w:ilvl w:val="1"/>
          <w:numId w:val="11"/>
        </w:numPr>
        <w:rPr>
          <w:rFonts w:ascii="仿宋_GB2312" w:eastAsia="仿宋_GB2312"/>
          <w:sz w:val="30"/>
          <w:szCs w:val="30"/>
        </w:rPr>
      </w:pPr>
      <w:r>
        <w:rPr>
          <w:rFonts w:hint="eastAsia" w:ascii="仿宋_GB2312" w:eastAsia="仿宋_GB2312"/>
          <w:sz w:val="30"/>
          <w:szCs w:val="30"/>
        </w:rPr>
        <w:t>严格按照政府采购相关制度要求，事前编制采购预算，事中编制采购计划，严控采购流程和招投标工作。</w:t>
      </w:r>
    </w:p>
    <w:p w14:paraId="6A729057">
      <w:pPr>
        <w:pStyle w:val="23"/>
        <w:numPr>
          <w:ilvl w:val="1"/>
          <w:numId w:val="11"/>
        </w:numPr>
        <w:rPr>
          <w:rFonts w:ascii="仿宋_GB2312" w:eastAsia="仿宋_GB2312"/>
          <w:sz w:val="30"/>
          <w:szCs w:val="30"/>
        </w:rPr>
      </w:pPr>
      <w:r>
        <w:rPr>
          <w:rFonts w:hint="eastAsia" w:ascii="仿宋_GB2312" w:eastAsia="仿宋_GB2312"/>
          <w:sz w:val="30"/>
          <w:szCs w:val="30"/>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02A5AD3F">
      <w:pPr>
        <w:pStyle w:val="23"/>
        <w:numPr>
          <w:ilvl w:val="1"/>
          <w:numId w:val="11"/>
        </w:numPr>
        <w:rPr>
          <w:rFonts w:ascii="仿宋_GB2312" w:eastAsia="仿宋_GB2312"/>
          <w:sz w:val="30"/>
          <w:szCs w:val="30"/>
        </w:rPr>
      </w:pPr>
      <w:r>
        <w:rPr>
          <w:rFonts w:hint="eastAsia" w:ascii="仿宋_GB2312" w:eastAsia="仿宋_GB2312"/>
          <w:sz w:val="30"/>
          <w:szCs w:val="30"/>
        </w:rPr>
        <w:t>本单位内部建立专门的管理制度规范内部控制工作的开展，包括岗位人员责任岗位分离制度、收入支出管理制度、财务档案管理、票据管理、财务印章管理、专项资金管理制度办法等。</w:t>
      </w:r>
    </w:p>
    <w:p w14:paraId="7EB81658">
      <w:pPr>
        <w:pStyle w:val="23"/>
        <w:numPr>
          <w:ilvl w:val="1"/>
          <w:numId w:val="11"/>
        </w:numPr>
        <w:rPr>
          <w:rFonts w:ascii="仿宋_GB2312" w:eastAsia="仿宋_GB2312"/>
          <w:sz w:val="30"/>
          <w:szCs w:val="30"/>
        </w:rPr>
      </w:pPr>
      <w:r>
        <w:rPr>
          <w:rFonts w:hint="eastAsia" w:ascii="仿宋_GB2312" w:eastAsia="仿宋_GB2312"/>
          <w:sz w:val="30"/>
          <w:szCs w:val="30"/>
        </w:rPr>
        <w:t>本单位严格执行预决算公开制度。</w:t>
      </w:r>
    </w:p>
    <w:p w14:paraId="5FC03955">
      <w:pPr>
        <w:pStyle w:val="23"/>
        <w:numPr>
          <w:ilvl w:val="1"/>
          <w:numId w:val="11"/>
        </w:numPr>
        <w:rPr>
          <w:rFonts w:ascii="仿宋_GB2312" w:eastAsia="仿宋_GB2312"/>
          <w:sz w:val="30"/>
          <w:szCs w:val="30"/>
        </w:rPr>
      </w:pPr>
      <w:r>
        <w:rPr>
          <w:rFonts w:hint="eastAsia" w:ascii="仿宋_GB2312" w:eastAsia="仿宋_GB2312"/>
          <w:sz w:val="30"/>
          <w:szCs w:val="30"/>
        </w:rPr>
        <w:t>本单位在预决算编制过程中全面实行项目及总体绩效评价目标填报及按要求报送绩效自评报告。</w:t>
      </w:r>
    </w:p>
    <w:p w14:paraId="409B0252">
      <w:pPr>
        <w:pStyle w:val="23"/>
        <w:numPr>
          <w:ilvl w:val="1"/>
          <w:numId w:val="11"/>
        </w:numPr>
        <w:rPr>
          <w:rFonts w:ascii="仿宋_GB2312" w:eastAsia="仿宋_GB2312"/>
          <w:sz w:val="30"/>
          <w:szCs w:val="30"/>
        </w:rPr>
      </w:pPr>
      <w:r>
        <w:rPr>
          <w:rFonts w:hint="eastAsia" w:ascii="仿宋_GB2312" w:eastAsia="仿宋_GB2312"/>
          <w:sz w:val="30"/>
          <w:szCs w:val="30"/>
        </w:rPr>
        <w:t>本单位全面接受财政监督检查，在2018年的各项检查中无违规违纪现象。</w:t>
      </w:r>
    </w:p>
    <w:p w14:paraId="7A36B0FB">
      <w:pPr>
        <w:pStyle w:val="23"/>
        <w:numPr>
          <w:ilvl w:val="0"/>
          <w:numId w:val="11"/>
        </w:numPr>
      </w:pPr>
      <w:r>
        <w:rPr>
          <w:rFonts w:hint="eastAsia" w:ascii="仿宋_GB2312"/>
          <w:sz w:val="30"/>
          <w:szCs w:val="30"/>
        </w:rPr>
        <w:t>整体绩效。</w:t>
      </w:r>
    </w:p>
    <w:p w14:paraId="446229B1">
      <w:pPr>
        <w:pStyle w:val="23"/>
        <w:numPr>
          <w:ilvl w:val="0"/>
          <w:numId w:val="0"/>
        </w:numPr>
        <w:ind w:left="620" w:firstLine="600" w:firstLineChars="200"/>
        <w:rPr>
          <w:rFonts w:ascii="仿宋_GB2312" w:eastAsia="仿宋_GB2312"/>
          <w:sz w:val="30"/>
          <w:szCs w:val="30"/>
        </w:rPr>
      </w:pPr>
      <w:r>
        <w:rPr>
          <w:rFonts w:hint="eastAsia" w:ascii="仿宋_GB2312" w:eastAsia="仿宋_GB2312"/>
          <w:sz w:val="30"/>
          <w:szCs w:val="30"/>
        </w:rPr>
        <w:t>2018年，在高新区党工委管委会的坚强领导下，我</w:t>
      </w:r>
      <w:r>
        <w:rPr>
          <w:rFonts w:hint="eastAsia" w:ascii="仿宋_GB2312" w:eastAsia="仿宋_GB2312"/>
          <w:sz w:val="30"/>
          <w:szCs w:val="30"/>
          <w:lang w:val="en-US"/>
        </w:rPr>
        <w:t>中心</w:t>
      </w:r>
      <w:r>
        <w:rPr>
          <w:rFonts w:hint="eastAsia" w:ascii="仿宋_GB2312" w:eastAsia="仿宋_GB2312"/>
          <w:sz w:val="30"/>
          <w:szCs w:val="30"/>
        </w:rPr>
        <w:t>认真贯彻落实党工委、管委会重大决策部署和工作会议精神，紧密结合“一总部三基地” 的战略部署和“挂图作战”重点推进项目，主动适应经济发展新常态，全力服务高新区经济增长，尽职尽责</w:t>
      </w:r>
      <w:r>
        <w:rPr>
          <w:rFonts w:hint="eastAsia" w:ascii="仿宋_GB2312" w:eastAsia="仿宋_GB2312"/>
          <w:sz w:val="30"/>
          <w:szCs w:val="30"/>
          <w:lang w:val="en-US"/>
        </w:rPr>
        <w:t>做好高新区土地储备工作，并负责园区基础设施建设和维护</w:t>
      </w:r>
      <w:r>
        <w:rPr>
          <w:rFonts w:hint="eastAsia" w:ascii="仿宋_GB2312" w:eastAsia="仿宋_GB2312"/>
          <w:sz w:val="30"/>
          <w:szCs w:val="30"/>
        </w:rPr>
        <w:t>。</w:t>
      </w:r>
    </w:p>
    <w:p w14:paraId="135FEBD7"/>
    <w:p w14:paraId="37A69270">
      <w:pPr>
        <w:spacing w:line="580" w:lineRule="exact"/>
        <w:ind w:firstLine="600" w:firstLineChars="200"/>
        <w:rPr>
          <w:rFonts w:ascii="仿宋_GB2312" w:hAnsi="Calibri" w:eastAsia="仿宋_GB2312"/>
          <w:sz w:val="30"/>
          <w:szCs w:val="30"/>
          <w:lang w:val="zh-CN"/>
        </w:rPr>
      </w:pPr>
      <w:r>
        <w:rPr>
          <w:rFonts w:hint="eastAsia" w:ascii="仿宋_GB2312" w:hAnsi="Calibri" w:eastAsia="仿宋_GB2312"/>
          <w:sz w:val="30"/>
          <w:szCs w:val="30"/>
          <w:lang w:val="zh-CN"/>
        </w:rPr>
        <w:t>一是加强规划管理。按照市委、市政府和管委会的工作安排部署，结合“挂图作战”项目用地要求及高新区控规，完成乐高大道、南新路、乐山宝德未来科技城项目、乐山中美地方合作半导体产业园、故宫文物南迁遗址及文化小镇建设项目、中农联项目、比克汽车配套项目、高新区中学项目等12个项目约1700亩土地利用总体规划局部调整工作，并于11月上旬取得批准，确保重点项目用地，保障项目顺利组件报批。</w:t>
      </w:r>
    </w:p>
    <w:p w14:paraId="750EF13E">
      <w:pPr>
        <w:spacing w:line="600" w:lineRule="exact"/>
        <w:ind w:firstLine="600" w:firstLineChars="200"/>
        <w:rPr>
          <w:rFonts w:ascii="仿宋_GB2312" w:hAnsi="Calibri" w:eastAsia="仿宋_GB2312"/>
          <w:sz w:val="30"/>
          <w:szCs w:val="30"/>
          <w:lang w:val="zh-CN"/>
        </w:rPr>
      </w:pPr>
      <w:r>
        <w:rPr>
          <w:rFonts w:hint="eastAsia" w:ascii="仿宋_GB2312" w:hAnsi="Calibri" w:eastAsia="仿宋_GB2312"/>
          <w:sz w:val="30"/>
          <w:szCs w:val="30"/>
          <w:lang w:val="zh-CN"/>
        </w:rPr>
        <w:t>二是多渠道争取土地指标。2018年度，全市土地指标缺口较大，为了保障总部经济区建设需要，我局一方面积极对接市局，争取市局对我区土地指标的倾斜，另一方面，完成了乐山高新区城乡建设增减挂钩试点项目初步论证工作和资料申报工作，并受到乐山市国土资源局通报表扬，超额完成目标任务200％。</w:t>
      </w:r>
    </w:p>
    <w:p w14:paraId="410043AD">
      <w:pPr>
        <w:spacing w:line="600" w:lineRule="atLeast"/>
        <w:ind w:firstLine="600" w:firstLineChars="200"/>
        <w:rPr>
          <w:rFonts w:ascii="仿宋_GB2312" w:hAnsi="Calibri" w:eastAsia="仿宋_GB2312"/>
          <w:sz w:val="30"/>
          <w:szCs w:val="30"/>
          <w:lang w:val="zh-CN"/>
        </w:rPr>
      </w:pPr>
      <w:r>
        <w:rPr>
          <w:rFonts w:hint="eastAsia" w:ascii="仿宋_GB2312" w:hAnsi="Calibri" w:eastAsia="仿宋_GB2312"/>
          <w:sz w:val="30"/>
          <w:szCs w:val="30"/>
          <w:lang w:val="zh-CN"/>
        </w:rPr>
        <w:t>三是及时组织土地报征。1、完成乐山市2017年11、12批城市建设用地共500亩报批工作，取得省政府批复和林地采伐许可证。2、启动乐高大道、南新路、乐山宝德未来科技城项目、乐山中美地方合作半导体产业园、故宫文物南迁遗址及文化小镇建设项目、中农联项目、比克汽车配套项目、高新区中学项目等12个项目约1600余亩土地报批工作，作为乐山市2018年第10、11、12、13批城市建设用地开展报批，完成土地勘测定界、林勘、听证等相关工作，并报送省自然资源厅审核待批准。</w:t>
      </w:r>
    </w:p>
    <w:p w14:paraId="49FC59BB">
      <w:pPr>
        <w:spacing w:line="600" w:lineRule="atLeast"/>
        <w:ind w:firstLine="645"/>
        <w:rPr>
          <w:rFonts w:ascii="仿宋_GB2312" w:hAnsi="Calibri" w:eastAsia="仿宋_GB2312"/>
          <w:sz w:val="30"/>
          <w:szCs w:val="30"/>
          <w:lang w:val="zh-CN"/>
        </w:rPr>
      </w:pPr>
      <w:r>
        <w:rPr>
          <w:rFonts w:hint="eastAsia" w:ascii="仿宋_GB2312" w:hAnsi="Calibri" w:eastAsia="仿宋_GB2312"/>
          <w:sz w:val="30"/>
          <w:szCs w:val="30"/>
          <w:lang w:val="zh-CN"/>
        </w:rPr>
        <w:t>四是积极推进土地储备工作。1、完成了对 乐山高新投资发展（集团）有限公司、乐山高新盛泰科技有限公</w:t>
      </w:r>
      <w:bookmarkStart w:id="68" w:name="_GoBack"/>
      <w:bookmarkEnd w:id="68"/>
      <w:r>
        <w:rPr>
          <w:rFonts w:hint="eastAsia" w:ascii="仿宋_GB2312" w:hAnsi="Calibri" w:eastAsia="仿宋_GB2312"/>
          <w:sz w:val="30"/>
          <w:szCs w:val="30"/>
          <w:lang w:val="zh-CN"/>
        </w:rPr>
        <w:t>司、乐山市金字塔商品混凝土有限公司等6宗土地的收储评估、协商及《土地收储补偿协议》的签订，6宗土地面积为761.51亩。2、完成了对蓝雁集团G4-1因道路、澳大利亚花园占用土地的收储前期工作；完成了移动乐山分公司土地置换的评估、协商，已拟定《土地置换协议》。3、按照管委会土地腾退工作部署，协助牵头部门完成了坤城机械、盐业公司乐山分公司、天壹科技、钻石磨料等收储评估工作。4、完成了499.8亩土地入库工作；储备土地出库1489.8亩；农业发展银行乐山分行3.8亿元的储备土地抵押贷款到期解除手续；注销储备土地国有土地使用权证三宗（406.45亩）。5、日常工作：完成了土地储备中心法人证书年检、土地市场动态监测与监管系统上报和维护、事业单位运行情况评估报告工作、储备土地巡查和监管工作等其它日常工作。</w:t>
      </w:r>
    </w:p>
    <w:p w14:paraId="1F1E20CC">
      <w:pPr>
        <w:spacing w:line="580" w:lineRule="exact"/>
        <w:ind w:firstLine="600" w:firstLineChars="200"/>
        <w:rPr>
          <w:rFonts w:ascii="仿宋_GB2312" w:hAnsi="Calibri" w:eastAsia="仿宋_GB2312"/>
          <w:sz w:val="30"/>
          <w:szCs w:val="30"/>
          <w:lang w:val="zh-CN"/>
        </w:rPr>
      </w:pPr>
      <w:r>
        <w:rPr>
          <w:rFonts w:hint="eastAsia" w:ascii="仿宋_GB2312" w:hAnsi="Calibri" w:eastAsia="仿宋_GB2312"/>
          <w:sz w:val="30"/>
          <w:szCs w:val="30"/>
          <w:lang w:val="zh-CN"/>
        </w:rPr>
        <w:t>五是加快推进土地供应，提高土地利用率。1、完成成都嘉祥盛业教育咨询有限公司216亩教育用地出让工作，成交价款为7600万元。2、完成乐山市市中区车子镇中心小学建设项目约59.11亩用地划拨工作。3、完成新安里项目105亩土地出让工作，成交价款13600万元。4、完成乐山高新区茶山路等13个园区基础设施建设项目约830亩用地划拨工作，划拨价款28985.73万元。5、完成5宗商服、城镇住宅用地共226.66亩土地出让工作，成交价款55300万元。6、完成1宗医卫慈善用地53.03亩土地出让工作，成交价款2700万元。本年度土地供应面积共计1489.8亩，收入累计108185.73万元。</w:t>
      </w:r>
    </w:p>
    <w:p w14:paraId="21B54C8A">
      <w:pPr>
        <w:spacing w:line="600" w:lineRule="atLeast"/>
        <w:ind w:firstLine="600" w:firstLineChars="200"/>
        <w:rPr>
          <w:rFonts w:ascii="仿宋_GB2312" w:hAnsi="Calibri" w:eastAsia="仿宋_GB2312"/>
          <w:sz w:val="30"/>
          <w:szCs w:val="30"/>
          <w:lang w:val="zh-CN"/>
        </w:rPr>
      </w:pPr>
      <w:r>
        <w:rPr>
          <w:rFonts w:hint="eastAsia" w:ascii="仿宋_GB2312" w:hAnsi="Calibri" w:eastAsia="仿宋_GB2312"/>
          <w:sz w:val="30"/>
          <w:szCs w:val="30"/>
          <w:lang w:val="zh-CN"/>
        </w:rPr>
        <w:t>六是不断提高集约用地水平。1、制定了批而未供和闲置土地专项督查整改工作的方案，按照“全面清理、分类处理、依法处置”的原则，积极推进全区批而未供土地和闲置土地的清理处置工作。2、完成乐山高新区2018年度土地集约利用全面评价工作，并已通过省自然资源厅验收。</w:t>
      </w:r>
    </w:p>
    <w:p w14:paraId="323B5C1D">
      <w:pPr>
        <w:spacing w:line="600" w:lineRule="atLeast"/>
        <w:ind w:firstLine="600" w:firstLineChars="200"/>
        <w:rPr>
          <w:rFonts w:ascii="仿宋_GB2312" w:hAnsi="Calibri" w:eastAsia="仿宋_GB2312"/>
          <w:sz w:val="30"/>
          <w:szCs w:val="30"/>
          <w:lang w:val="zh-CN"/>
        </w:rPr>
      </w:pPr>
      <w:r>
        <w:rPr>
          <w:rFonts w:hint="eastAsia" w:ascii="仿宋_GB2312" w:hAnsi="Calibri" w:eastAsia="仿宋_GB2312"/>
          <w:sz w:val="30"/>
          <w:szCs w:val="30"/>
          <w:lang w:val="zh-CN"/>
        </w:rPr>
        <w:t>七是积极推进企业土地腾退工作。为贯彻落实《中共乐山市委、乐山市人民政府关于加快推进“一总部三基地”建设的实施意见》（乐委发[2017]4号）精神，按照“搬迁一批、收储一批、收购一批、清理一批”的工作思路，2018年5月8日管委会印发《乐山高新区企业土地腾退工作推进方案》，成立了企业土地腾退工作领导小组，下设综合统筹组、企业搬迁组、土地收储组、资产收购组4个工作推进组，现根据新的要求，重新进行了人员分工、责任落实，强力推进。</w:t>
      </w:r>
    </w:p>
    <w:p w14:paraId="09A348D4">
      <w:pPr>
        <w:pStyle w:val="22"/>
        <w:numPr>
          <w:ilvl w:val="0"/>
          <w:numId w:val="12"/>
        </w:numPr>
        <w:rPr>
          <w:shd w:val="clear" w:color="auto" w:fill="FFFFFF"/>
        </w:rPr>
      </w:pPr>
      <w:r>
        <w:rPr>
          <w:rFonts w:hint="eastAsia"/>
          <w:shd w:val="clear" w:color="auto" w:fill="FFFFFF"/>
        </w:rPr>
        <w:t>评价结论及建议</w:t>
      </w:r>
    </w:p>
    <w:p w14:paraId="51595C72">
      <w:pPr>
        <w:pStyle w:val="23"/>
        <w:numPr>
          <w:ilvl w:val="0"/>
          <w:numId w:val="13"/>
        </w:numPr>
        <w:rPr>
          <w:shd w:val="clear" w:color="auto" w:fill="FFFFFF"/>
        </w:rPr>
      </w:pPr>
      <w:r>
        <w:rPr>
          <w:rFonts w:hint="eastAsia"/>
          <w:shd w:val="clear" w:color="auto" w:fill="FFFFFF"/>
        </w:rPr>
        <w:t>评价结论。</w:t>
      </w:r>
    </w:p>
    <w:p w14:paraId="63A98B51">
      <w:pPr>
        <w:pStyle w:val="24"/>
        <w:ind w:firstLine="600"/>
        <w:rPr>
          <w:rFonts w:hAnsi="仿宋"/>
          <w:sz w:val="30"/>
          <w:szCs w:val="30"/>
        </w:rPr>
      </w:pPr>
      <w:r>
        <w:rPr>
          <w:rFonts w:hint="eastAsia" w:hAnsi="仿宋"/>
          <w:sz w:val="30"/>
          <w:szCs w:val="30"/>
        </w:rPr>
        <w:t>本单位履行职责职能,严格按预算法及高新区管委会的要求编制预决算、按财经法规及制度使用、管理资金,成效明显,主要体现在以下几个方面：</w:t>
      </w:r>
    </w:p>
    <w:p w14:paraId="42A6A4DE">
      <w:pPr>
        <w:pStyle w:val="24"/>
        <w:ind w:firstLine="600"/>
        <w:rPr>
          <w:rFonts w:hAnsi="仿宋"/>
          <w:sz w:val="30"/>
          <w:szCs w:val="30"/>
        </w:rPr>
      </w:pPr>
      <w:r>
        <w:rPr>
          <w:rFonts w:hint="eastAsia" w:hAnsi="仿宋"/>
          <w:sz w:val="30"/>
          <w:szCs w:val="30"/>
        </w:rPr>
        <w:t>1.资金使用效益合理有效，保障了财政供养人员的日常开支，资金使用无虚列支出及随意使用现象,无大额现金支付现象。</w:t>
      </w:r>
    </w:p>
    <w:p w14:paraId="4926A3B3">
      <w:pPr>
        <w:pStyle w:val="24"/>
        <w:ind w:firstLine="600"/>
        <w:rPr>
          <w:rFonts w:hAnsi="仿宋"/>
          <w:sz w:val="30"/>
          <w:szCs w:val="30"/>
        </w:rPr>
      </w:pPr>
      <w:r>
        <w:rPr>
          <w:rFonts w:hint="eastAsia" w:hAnsi="仿宋"/>
          <w:sz w:val="30"/>
          <w:szCs w:val="30"/>
        </w:rPr>
        <w:t>2.资金使用社会效益好。</w:t>
      </w:r>
    </w:p>
    <w:p w14:paraId="5213B468">
      <w:pPr>
        <w:pStyle w:val="24"/>
        <w:ind w:firstLine="600"/>
        <w:rPr>
          <w:rFonts w:hAnsi="仿宋"/>
          <w:sz w:val="30"/>
          <w:szCs w:val="30"/>
        </w:rPr>
      </w:pPr>
      <w:r>
        <w:rPr>
          <w:rFonts w:hint="eastAsia" w:hAnsi="仿宋"/>
          <w:sz w:val="30"/>
          <w:szCs w:val="30"/>
        </w:rPr>
        <w:t>3.根据财政整体支出绩效评价的内容要求，本单位的自查结果为“良”。</w:t>
      </w:r>
    </w:p>
    <w:p w14:paraId="1FF9E640">
      <w:pPr>
        <w:pStyle w:val="23"/>
        <w:rPr>
          <w:shd w:val="clear" w:color="auto" w:fill="FFFFFF"/>
        </w:rPr>
      </w:pPr>
      <w:r>
        <w:rPr>
          <w:rFonts w:hint="eastAsia"/>
          <w:shd w:val="clear" w:color="auto" w:fill="FFFFFF"/>
        </w:rPr>
        <w:t>存在问题。</w:t>
      </w:r>
    </w:p>
    <w:p w14:paraId="679182CA">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2018年</w:t>
      </w:r>
      <w:r>
        <w:rPr>
          <w:rFonts w:hint="eastAsia" w:ascii="仿宋_GB2312" w:hAnsi="仿宋"/>
          <w:sz w:val="30"/>
          <w:szCs w:val="30"/>
        </w:rPr>
        <w:t>，</w:t>
      </w:r>
      <w:r>
        <w:rPr>
          <w:rFonts w:hint="eastAsia" w:ascii="仿宋_GB2312" w:hAnsi="仿宋" w:eastAsia="仿宋_GB2312"/>
          <w:sz w:val="30"/>
          <w:szCs w:val="30"/>
        </w:rPr>
        <w:t>我中心在资金使用计划上有待进一步加强,要进一步细化预算编制,编制范围尽可能的全面，不漏项。进一步提高预算编制的科学性、合理性、严谨性和可控性。</w:t>
      </w:r>
    </w:p>
    <w:p w14:paraId="5C6C69B5">
      <w:pPr>
        <w:pStyle w:val="23"/>
        <w:rPr>
          <w:shd w:val="clear" w:color="auto" w:fill="FFFFFF"/>
        </w:rPr>
      </w:pPr>
      <w:r>
        <w:rPr>
          <w:rFonts w:hint="eastAsia"/>
          <w:shd w:val="clear" w:color="auto" w:fill="FFFFFF"/>
        </w:rPr>
        <w:t>改进建议。</w:t>
      </w:r>
    </w:p>
    <w:p w14:paraId="21DF4D62">
      <w:pPr>
        <w:pStyle w:val="24"/>
        <w:ind w:firstLine="600"/>
        <w:rPr>
          <w:rFonts w:hAnsi="仿宋"/>
          <w:sz w:val="30"/>
          <w:szCs w:val="30"/>
        </w:rPr>
      </w:pPr>
      <w:r>
        <w:rPr>
          <w:rFonts w:hint="eastAsia" w:hAnsi="仿宋"/>
          <w:sz w:val="30"/>
          <w:szCs w:val="30"/>
        </w:rPr>
        <w:t>在今后的工作一方面要严格优化预算编制，加强预算执行；另一方面要严格落实专项经费使用管理规定，做到专款专用;三是提高我区土地利用率，保障“一总部三基地”项目用地。四是在经费开支上严格按照八项规定执行。</w:t>
      </w:r>
    </w:p>
    <w:p w14:paraId="648C402E"/>
    <w:p w14:paraId="290D5FFB"/>
    <w:p w14:paraId="0E518FAC"/>
    <w:p w14:paraId="5BED9EAE"/>
    <w:p w14:paraId="4C939928"/>
    <w:p w14:paraId="0F9D3BE7"/>
    <w:p w14:paraId="6B8E61B9"/>
    <w:p w14:paraId="3E92320F"/>
    <w:p w14:paraId="358FB882"/>
    <w:p w14:paraId="62F10989"/>
    <w:p w14:paraId="75AC0371"/>
    <w:p w14:paraId="5BA2007F"/>
    <w:p w14:paraId="5965CEE7"/>
    <w:p w14:paraId="75F04481"/>
    <w:p w14:paraId="2580E825"/>
    <w:p w14:paraId="18C596A6"/>
    <w:p w14:paraId="35881AA7"/>
    <w:p w14:paraId="653D2064"/>
    <w:p w14:paraId="4F9327D7"/>
    <w:p w14:paraId="3FD38FDC"/>
    <w:p w14:paraId="33393892">
      <w:pPr>
        <w:spacing w:line="600" w:lineRule="exact"/>
        <w:jc w:val="center"/>
        <w:outlineLvl w:val="0"/>
        <w:rPr>
          <w:rStyle w:val="16"/>
          <w:rFonts w:ascii="黑体" w:hAnsi="黑体" w:eastAsia="黑体"/>
          <w:b w:val="0"/>
        </w:rPr>
      </w:pPr>
      <w:bookmarkStart w:id="54" w:name="_Toc15396618"/>
      <w:r>
        <w:rPr>
          <w:rFonts w:hint="eastAsia" w:ascii="黑体" w:hAnsi="黑体" w:eastAsia="黑体"/>
          <w:color w:val="000000"/>
          <w:sz w:val="44"/>
          <w:szCs w:val="44"/>
        </w:rPr>
        <w:t>第</w:t>
      </w:r>
      <w:r>
        <w:rPr>
          <w:rStyle w:val="16"/>
          <w:rFonts w:hint="eastAsia" w:ascii="黑体" w:hAnsi="黑体" w:eastAsia="黑体"/>
          <w:b w:val="0"/>
        </w:rPr>
        <w:t>五部分 附表</w:t>
      </w:r>
      <w:bookmarkEnd w:id="54"/>
    </w:p>
    <w:p w14:paraId="2A09F817">
      <w:pPr>
        <w:spacing w:line="600" w:lineRule="exact"/>
        <w:jc w:val="center"/>
        <w:outlineLvl w:val="0"/>
        <w:rPr>
          <w:rFonts w:ascii="仿宋" w:hAnsi="仿宋" w:eastAsia="仿宋"/>
          <w:b/>
          <w:color w:val="000000"/>
          <w:sz w:val="44"/>
          <w:szCs w:val="44"/>
        </w:rPr>
      </w:pPr>
    </w:p>
    <w:p w14:paraId="1A598BFD">
      <w:pPr>
        <w:pStyle w:val="3"/>
        <w:rPr>
          <w:rFonts w:ascii="仿宋" w:hAnsi="仿宋" w:eastAsia="仿宋"/>
          <w:color w:val="000000"/>
        </w:rPr>
      </w:pPr>
      <w:bookmarkStart w:id="55" w:name="_Toc15396619"/>
      <w:r>
        <w:rPr>
          <w:rFonts w:hint="eastAsia" w:ascii="仿宋" w:hAnsi="仿宋" w:eastAsia="仿宋"/>
          <w:color w:val="000000"/>
        </w:rPr>
        <w:t>一、收</w:t>
      </w:r>
      <w:r>
        <w:rPr>
          <w:rStyle w:val="17"/>
          <w:rFonts w:hint="eastAsia" w:ascii="仿宋" w:hAnsi="仿宋" w:eastAsia="仿宋"/>
          <w:b w:val="0"/>
          <w:bCs w:val="0"/>
        </w:rPr>
        <w:t>入支出决算总表</w:t>
      </w:r>
      <w:bookmarkEnd w:id="55"/>
    </w:p>
    <w:p w14:paraId="630E5BDA">
      <w:pPr>
        <w:pStyle w:val="3"/>
        <w:rPr>
          <w:rFonts w:ascii="仿宋" w:hAnsi="仿宋" w:eastAsia="仿宋"/>
          <w:color w:val="000000"/>
        </w:rPr>
      </w:pPr>
      <w:bookmarkStart w:id="56" w:name="_Toc15396620"/>
      <w:r>
        <w:rPr>
          <w:rFonts w:hint="eastAsia" w:ascii="仿宋" w:hAnsi="仿宋" w:eastAsia="仿宋"/>
          <w:color w:val="000000"/>
        </w:rPr>
        <w:t>二、收</w:t>
      </w:r>
      <w:r>
        <w:rPr>
          <w:rStyle w:val="17"/>
          <w:rFonts w:hint="eastAsia" w:ascii="仿宋" w:hAnsi="仿宋" w:eastAsia="仿宋"/>
          <w:b w:val="0"/>
          <w:bCs w:val="0"/>
        </w:rPr>
        <w:t>入总表</w:t>
      </w:r>
      <w:bookmarkEnd w:id="56"/>
    </w:p>
    <w:p w14:paraId="7520DB7E">
      <w:pPr>
        <w:pStyle w:val="3"/>
        <w:rPr>
          <w:rFonts w:ascii="仿宋" w:hAnsi="仿宋" w:eastAsia="仿宋"/>
          <w:color w:val="000000"/>
        </w:rPr>
      </w:pPr>
      <w:bookmarkStart w:id="57" w:name="_Toc15396621"/>
      <w:r>
        <w:rPr>
          <w:rStyle w:val="17"/>
          <w:rFonts w:hint="eastAsia" w:ascii="仿宋" w:hAnsi="仿宋" w:eastAsia="仿宋"/>
          <w:b w:val="0"/>
          <w:bCs w:val="0"/>
        </w:rPr>
        <w:t>三、</w:t>
      </w:r>
      <w:r>
        <w:rPr>
          <w:rFonts w:hint="eastAsia" w:ascii="仿宋" w:hAnsi="仿宋" w:eastAsia="仿宋"/>
          <w:color w:val="000000"/>
        </w:rPr>
        <w:t>支</w:t>
      </w:r>
      <w:r>
        <w:rPr>
          <w:rStyle w:val="17"/>
          <w:rFonts w:hint="eastAsia" w:ascii="仿宋" w:hAnsi="仿宋" w:eastAsia="仿宋"/>
          <w:b w:val="0"/>
          <w:bCs w:val="0"/>
        </w:rPr>
        <w:t>出总表</w:t>
      </w:r>
      <w:bookmarkEnd w:id="57"/>
    </w:p>
    <w:p w14:paraId="3DD977A8">
      <w:pPr>
        <w:pStyle w:val="3"/>
        <w:rPr>
          <w:rFonts w:ascii="仿宋" w:hAnsi="仿宋" w:eastAsia="仿宋"/>
          <w:color w:val="000000"/>
        </w:rPr>
      </w:pPr>
      <w:bookmarkStart w:id="58" w:name="_Toc15396622"/>
      <w:r>
        <w:rPr>
          <w:rStyle w:val="17"/>
          <w:rFonts w:hint="eastAsia" w:ascii="仿宋" w:hAnsi="仿宋" w:eastAsia="仿宋"/>
          <w:b w:val="0"/>
          <w:bCs w:val="0"/>
        </w:rPr>
        <w:t>四、</w:t>
      </w:r>
      <w:r>
        <w:rPr>
          <w:rFonts w:hint="eastAsia" w:ascii="仿宋" w:hAnsi="仿宋" w:eastAsia="仿宋"/>
          <w:color w:val="000000"/>
        </w:rPr>
        <w:t>财</w:t>
      </w:r>
      <w:r>
        <w:rPr>
          <w:rStyle w:val="17"/>
          <w:rFonts w:hint="eastAsia" w:ascii="仿宋" w:hAnsi="仿宋" w:eastAsia="仿宋"/>
          <w:b w:val="0"/>
          <w:bCs w:val="0"/>
        </w:rPr>
        <w:t>政拨款收入支出决算总表</w:t>
      </w:r>
      <w:bookmarkEnd w:id="58"/>
    </w:p>
    <w:p w14:paraId="773C70DD">
      <w:pPr>
        <w:pStyle w:val="3"/>
        <w:rPr>
          <w:rFonts w:ascii="仿宋" w:hAnsi="仿宋" w:eastAsia="仿宋"/>
          <w:color w:val="000000"/>
        </w:rPr>
      </w:pPr>
      <w:bookmarkStart w:id="59" w:name="_Toc15396623"/>
      <w:r>
        <w:rPr>
          <w:rStyle w:val="17"/>
          <w:rFonts w:hint="eastAsia" w:ascii="仿宋" w:hAnsi="仿宋" w:eastAsia="仿宋"/>
          <w:b w:val="0"/>
          <w:bCs w:val="0"/>
        </w:rPr>
        <w:t>五、</w:t>
      </w:r>
      <w:r>
        <w:rPr>
          <w:rFonts w:hint="eastAsia" w:ascii="仿宋" w:hAnsi="仿宋" w:eastAsia="仿宋"/>
          <w:color w:val="000000"/>
        </w:rPr>
        <w:t>财</w:t>
      </w:r>
      <w:r>
        <w:rPr>
          <w:rStyle w:val="17"/>
          <w:rFonts w:hint="eastAsia" w:ascii="仿宋" w:hAnsi="仿宋" w:eastAsia="仿宋"/>
          <w:b w:val="0"/>
          <w:bCs w:val="0"/>
        </w:rPr>
        <w:t>政拨款支出决算明细表（政府经济分类科目）</w:t>
      </w:r>
      <w:bookmarkEnd w:id="59"/>
    </w:p>
    <w:p w14:paraId="1425DC45">
      <w:pPr>
        <w:pStyle w:val="3"/>
        <w:rPr>
          <w:rFonts w:ascii="仿宋" w:hAnsi="仿宋" w:eastAsia="仿宋"/>
          <w:color w:val="000000"/>
        </w:rPr>
      </w:pPr>
      <w:bookmarkStart w:id="60" w:name="_Toc15396624"/>
      <w:r>
        <w:rPr>
          <w:rStyle w:val="17"/>
          <w:rFonts w:hint="eastAsia" w:ascii="仿宋" w:hAnsi="仿宋" w:eastAsia="仿宋"/>
          <w:b w:val="0"/>
          <w:bCs w:val="0"/>
        </w:rPr>
        <w:t>六、</w:t>
      </w:r>
      <w:r>
        <w:rPr>
          <w:rFonts w:hint="eastAsia" w:ascii="仿宋" w:hAnsi="仿宋" w:eastAsia="仿宋"/>
          <w:color w:val="000000"/>
        </w:rPr>
        <w:t>一</w:t>
      </w:r>
      <w:r>
        <w:rPr>
          <w:rStyle w:val="17"/>
          <w:rFonts w:hint="eastAsia" w:ascii="仿宋" w:hAnsi="仿宋" w:eastAsia="仿宋"/>
          <w:b w:val="0"/>
          <w:bCs w:val="0"/>
        </w:rPr>
        <w:t>般公共预算财政拨款支出决算表</w:t>
      </w:r>
      <w:bookmarkEnd w:id="60"/>
    </w:p>
    <w:p w14:paraId="068C45EA">
      <w:pPr>
        <w:pStyle w:val="3"/>
        <w:rPr>
          <w:rFonts w:ascii="仿宋" w:hAnsi="仿宋" w:eastAsia="仿宋"/>
          <w:color w:val="000000"/>
        </w:rPr>
      </w:pPr>
      <w:bookmarkStart w:id="61" w:name="_Toc15396625"/>
      <w:r>
        <w:rPr>
          <w:rStyle w:val="17"/>
          <w:rFonts w:hint="eastAsia" w:ascii="仿宋" w:hAnsi="仿宋" w:eastAsia="仿宋"/>
          <w:b w:val="0"/>
          <w:bCs w:val="0"/>
        </w:rPr>
        <w:t>七、</w:t>
      </w:r>
      <w:r>
        <w:rPr>
          <w:rFonts w:hint="eastAsia" w:ascii="仿宋" w:hAnsi="仿宋" w:eastAsia="仿宋"/>
          <w:color w:val="000000"/>
        </w:rPr>
        <w:t>一</w:t>
      </w:r>
      <w:r>
        <w:rPr>
          <w:rStyle w:val="17"/>
          <w:rFonts w:hint="eastAsia" w:ascii="仿宋" w:hAnsi="仿宋" w:eastAsia="仿宋"/>
          <w:b w:val="0"/>
          <w:bCs w:val="0"/>
        </w:rPr>
        <w:t>般公共预算财政拨款支出决算明细表</w:t>
      </w:r>
      <w:bookmarkEnd w:id="61"/>
    </w:p>
    <w:p w14:paraId="5086A632">
      <w:pPr>
        <w:pStyle w:val="3"/>
        <w:rPr>
          <w:rFonts w:ascii="仿宋" w:hAnsi="仿宋" w:eastAsia="仿宋"/>
          <w:color w:val="000000"/>
        </w:rPr>
      </w:pPr>
      <w:bookmarkStart w:id="62" w:name="_Toc15396626"/>
      <w:r>
        <w:rPr>
          <w:rStyle w:val="17"/>
          <w:rFonts w:hint="eastAsia" w:ascii="仿宋" w:hAnsi="仿宋" w:eastAsia="仿宋"/>
          <w:b w:val="0"/>
          <w:bCs w:val="0"/>
        </w:rPr>
        <w:t>八、</w:t>
      </w:r>
      <w:r>
        <w:rPr>
          <w:rFonts w:hint="eastAsia" w:ascii="仿宋" w:hAnsi="仿宋" w:eastAsia="仿宋"/>
          <w:color w:val="000000"/>
        </w:rPr>
        <w:t>一</w:t>
      </w:r>
      <w:r>
        <w:rPr>
          <w:rStyle w:val="17"/>
          <w:rFonts w:hint="eastAsia" w:ascii="仿宋" w:hAnsi="仿宋" w:eastAsia="仿宋"/>
          <w:b w:val="0"/>
          <w:bCs w:val="0"/>
        </w:rPr>
        <w:t>般公共预算财政拨款基本支出决算表</w:t>
      </w:r>
      <w:bookmarkEnd w:id="62"/>
    </w:p>
    <w:p w14:paraId="364B42D8">
      <w:pPr>
        <w:pStyle w:val="3"/>
        <w:rPr>
          <w:rFonts w:ascii="仿宋" w:hAnsi="仿宋" w:eastAsia="仿宋"/>
          <w:color w:val="000000"/>
        </w:rPr>
      </w:pPr>
      <w:bookmarkStart w:id="63" w:name="_Toc15396627"/>
      <w:r>
        <w:rPr>
          <w:rStyle w:val="17"/>
          <w:rFonts w:hint="eastAsia" w:ascii="仿宋" w:hAnsi="仿宋" w:eastAsia="仿宋"/>
          <w:b w:val="0"/>
          <w:bCs w:val="0"/>
        </w:rPr>
        <w:t>九、</w:t>
      </w:r>
      <w:r>
        <w:rPr>
          <w:rFonts w:hint="eastAsia" w:ascii="仿宋" w:hAnsi="仿宋" w:eastAsia="仿宋"/>
          <w:color w:val="000000"/>
        </w:rPr>
        <w:t>一</w:t>
      </w:r>
      <w:r>
        <w:rPr>
          <w:rStyle w:val="17"/>
          <w:rFonts w:hint="eastAsia" w:ascii="仿宋" w:hAnsi="仿宋" w:eastAsia="仿宋"/>
          <w:b w:val="0"/>
          <w:bCs w:val="0"/>
        </w:rPr>
        <w:t>般公共预算财政拨款项目支出决算表</w:t>
      </w:r>
      <w:bookmarkEnd w:id="63"/>
    </w:p>
    <w:p w14:paraId="61C8C2DB">
      <w:pPr>
        <w:pStyle w:val="3"/>
        <w:rPr>
          <w:rFonts w:ascii="仿宋" w:hAnsi="仿宋" w:eastAsia="仿宋"/>
          <w:color w:val="000000"/>
        </w:rPr>
      </w:pPr>
      <w:bookmarkStart w:id="64" w:name="_Toc15396628"/>
      <w:r>
        <w:rPr>
          <w:rStyle w:val="17"/>
          <w:rFonts w:hint="eastAsia" w:ascii="仿宋" w:hAnsi="仿宋" w:eastAsia="仿宋"/>
          <w:b w:val="0"/>
          <w:bCs w:val="0"/>
        </w:rPr>
        <w:t>十、</w:t>
      </w:r>
      <w:r>
        <w:rPr>
          <w:rFonts w:hint="eastAsia" w:ascii="仿宋" w:hAnsi="仿宋" w:eastAsia="仿宋"/>
          <w:color w:val="000000"/>
        </w:rPr>
        <w:t>一</w:t>
      </w:r>
      <w:r>
        <w:rPr>
          <w:rStyle w:val="17"/>
          <w:rFonts w:hint="eastAsia" w:ascii="仿宋" w:hAnsi="仿宋" w:eastAsia="仿宋"/>
          <w:b w:val="0"/>
          <w:bCs w:val="0"/>
        </w:rPr>
        <w:t>般公共预算财政拨款“三公”经费支出决算表</w:t>
      </w:r>
      <w:bookmarkEnd w:id="64"/>
    </w:p>
    <w:p w14:paraId="127F53D0">
      <w:pPr>
        <w:pStyle w:val="3"/>
        <w:rPr>
          <w:rFonts w:ascii="仿宋" w:hAnsi="仿宋" w:eastAsia="仿宋"/>
          <w:color w:val="000000"/>
        </w:rPr>
      </w:pPr>
      <w:bookmarkStart w:id="65" w:name="_Toc15396629"/>
      <w:r>
        <w:rPr>
          <w:rStyle w:val="17"/>
          <w:rFonts w:hint="eastAsia" w:ascii="仿宋" w:hAnsi="仿宋" w:eastAsia="仿宋"/>
          <w:b w:val="0"/>
          <w:bCs w:val="0"/>
        </w:rPr>
        <w:t>十一、</w:t>
      </w:r>
      <w:r>
        <w:rPr>
          <w:rFonts w:hint="eastAsia" w:ascii="仿宋" w:hAnsi="仿宋" w:eastAsia="仿宋"/>
          <w:color w:val="000000"/>
        </w:rPr>
        <w:t>政</w:t>
      </w:r>
      <w:r>
        <w:rPr>
          <w:rStyle w:val="17"/>
          <w:rFonts w:hint="eastAsia" w:ascii="仿宋" w:hAnsi="仿宋" w:eastAsia="仿宋"/>
          <w:b w:val="0"/>
          <w:bCs w:val="0"/>
        </w:rPr>
        <w:t>府性基金预算财政拨款收入支出决算表</w:t>
      </w:r>
      <w:bookmarkEnd w:id="65"/>
    </w:p>
    <w:p w14:paraId="378F7A8F">
      <w:pPr>
        <w:pStyle w:val="3"/>
        <w:rPr>
          <w:rFonts w:ascii="仿宋" w:hAnsi="仿宋" w:eastAsia="仿宋"/>
          <w:color w:val="000000"/>
        </w:rPr>
      </w:pPr>
      <w:bookmarkStart w:id="66" w:name="_Toc15396630"/>
      <w:r>
        <w:rPr>
          <w:rStyle w:val="17"/>
          <w:rFonts w:hint="eastAsia" w:ascii="仿宋" w:hAnsi="仿宋" w:eastAsia="仿宋"/>
          <w:b w:val="0"/>
          <w:bCs w:val="0"/>
        </w:rPr>
        <w:t>十二、</w:t>
      </w:r>
      <w:r>
        <w:rPr>
          <w:rFonts w:hint="eastAsia" w:ascii="仿宋" w:hAnsi="仿宋" w:eastAsia="仿宋"/>
          <w:color w:val="000000"/>
        </w:rPr>
        <w:t>政</w:t>
      </w:r>
      <w:r>
        <w:rPr>
          <w:rStyle w:val="17"/>
          <w:rFonts w:hint="eastAsia" w:ascii="仿宋" w:hAnsi="仿宋" w:eastAsia="仿宋"/>
          <w:b w:val="0"/>
          <w:bCs w:val="0"/>
        </w:rPr>
        <w:t>府性基金预算财政拨款“三公”经费支出决算表</w:t>
      </w:r>
      <w:bookmarkEnd w:id="66"/>
    </w:p>
    <w:p w14:paraId="43D9B257">
      <w:pPr>
        <w:pStyle w:val="3"/>
        <w:rPr>
          <w:rFonts w:ascii="仿宋" w:hAnsi="仿宋" w:eastAsia="仿宋"/>
          <w:color w:val="000000" w:themeColor="text1"/>
        </w:rPr>
      </w:pPr>
      <w:bookmarkStart w:id="67" w:name="_Toc15396631"/>
      <w:r>
        <w:rPr>
          <w:rStyle w:val="17"/>
          <w:rFonts w:hint="eastAsia" w:ascii="仿宋" w:hAnsi="仿宋" w:eastAsia="仿宋"/>
          <w:b w:val="0"/>
          <w:bCs w:val="0"/>
        </w:rPr>
        <w:t>十三、</w:t>
      </w:r>
      <w:r>
        <w:rPr>
          <w:rFonts w:hint="eastAsia" w:ascii="仿宋" w:hAnsi="仿宋" w:eastAsia="仿宋"/>
          <w:color w:val="000000"/>
        </w:rPr>
        <w:t>国</w:t>
      </w:r>
      <w:r>
        <w:rPr>
          <w:rStyle w:val="17"/>
          <w:rFonts w:hint="eastAsia" w:ascii="仿宋" w:hAnsi="仿宋" w:eastAsia="仿宋"/>
          <w:b w:val="0"/>
          <w:bCs w:val="0"/>
        </w:rPr>
        <w:t>有资本经营预算支出决算表</w:t>
      </w:r>
      <w:bookmarkEnd w:id="6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34F85EAF"/>
    <w:multiLevelType w:val="multilevel"/>
    <w:tmpl w:val="34F85EAF"/>
    <w:lvl w:ilvl="0" w:tentative="0">
      <w:start w:val="1"/>
      <w:numFmt w:val="chineseCountingThousand"/>
      <w:pStyle w:val="22"/>
      <w:suff w:val="nothing"/>
      <w:lvlText w:val="%1、"/>
      <w:lvlJc w:val="left"/>
      <w:pPr>
        <w:ind w:left="-637" w:firstLine="6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927838"/>
    <w:multiLevelType w:val="multilevel"/>
    <w:tmpl w:val="59927838"/>
    <w:lvl w:ilvl="0" w:tentative="0">
      <w:start w:val="2018"/>
      <w:numFmt w:val="decimal"/>
      <w:lvlText w:val="（%1年）"/>
      <w:lvlJc w:val="left"/>
      <w:pPr>
        <w:ind w:left="1725" w:hanging="1725"/>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E55BF3"/>
    <w:multiLevelType w:val="multilevel"/>
    <w:tmpl w:val="7EE55BF3"/>
    <w:lvl w:ilvl="0" w:tentative="0">
      <w:start w:val="1"/>
      <w:numFmt w:val="chineseCountingThousand"/>
      <w:pStyle w:val="23"/>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6"/>
  </w:num>
  <w:num w:numId="2">
    <w:abstractNumId w:val="9"/>
  </w:num>
  <w:num w:numId="3">
    <w:abstractNumId w:val="4"/>
  </w:num>
  <w:num w:numId="4">
    <w:abstractNumId w:val="1"/>
  </w:num>
  <w:num w:numId="5">
    <w:abstractNumId w:val="5"/>
  </w:num>
  <w:num w:numId="6">
    <w:abstractNumId w:val="3"/>
  </w:num>
  <w:num w:numId="7">
    <w:abstractNumId w:val="0"/>
  </w:num>
  <w:num w:numId="8">
    <w:abstractNumId w:val="2"/>
  </w:num>
  <w:num w:numId="9">
    <w:abstractNumId w:val="8"/>
  </w:num>
  <w:num w:numId="10">
    <w:abstractNumId w:val="9"/>
    <w:lvlOverride w:ilvl="0">
      <w:startOverride w:val="1"/>
    </w:lvlOverride>
  </w:num>
  <w:num w:numId="11">
    <w:abstractNumId w:val="9"/>
    <w:lvlOverride w:ilvl="0">
      <w:startOverride w:val="1"/>
    </w:lvlOverride>
  </w:num>
  <w:num w:numId="12">
    <w:abstractNumId w:val="7"/>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2B0B"/>
    <w:rsid w:val="000B58C4"/>
    <w:rsid w:val="000E305C"/>
    <w:rsid w:val="00297F63"/>
    <w:rsid w:val="00352C89"/>
    <w:rsid w:val="003A6C48"/>
    <w:rsid w:val="00493295"/>
    <w:rsid w:val="004D6DA1"/>
    <w:rsid w:val="00695017"/>
    <w:rsid w:val="006C7F88"/>
    <w:rsid w:val="009B4F42"/>
    <w:rsid w:val="00A14313"/>
    <w:rsid w:val="00A709E7"/>
    <w:rsid w:val="00AD4E25"/>
    <w:rsid w:val="00CA0C98"/>
    <w:rsid w:val="00CF230B"/>
    <w:rsid w:val="00CF45FD"/>
    <w:rsid w:val="00D537CC"/>
    <w:rsid w:val="00D655F6"/>
    <w:rsid w:val="00DB690A"/>
    <w:rsid w:val="00DD7450"/>
    <w:rsid w:val="00DE025F"/>
    <w:rsid w:val="00DF2B0B"/>
    <w:rsid w:val="00E61BA2"/>
    <w:rsid w:val="00F94D21"/>
    <w:rsid w:val="0C8F5BA8"/>
    <w:rsid w:val="0DCD0326"/>
    <w:rsid w:val="13CF7636"/>
    <w:rsid w:val="24F03C8F"/>
    <w:rsid w:val="265B548C"/>
    <w:rsid w:val="27C77B3B"/>
    <w:rsid w:val="29191E62"/>
    <w:rsid w:val="2B3F2693"/>
    <w:rsid w:val="307C50E4"/>
    <w:rsid w:val="312525D9"/>
    <w:rsid w:val="34B12E20"/>
    <w:rsid w:val="37D04342"/>
    <w:rsid w:val="3E606295"/>
    <w:rsid w:val="433219C7"/>
    <w:rsid w:val="4C7315D2"/>
    <w:rsid w:val="50B20B23"/>
    <w:rsid w:val="55D804A2"/>
    <w:rsid w:val="57C43464"/>
    <w:rsid w:val="5B66237B"/>
    <w:rsid w:val="6BCB5555"/>
    <w:rsid w:val="6E582821"/>
    <w:rsid w:val="726003B0"/>
    <w:rsid w:val="73EE14E6"/>
    <w:rsid w:val="774501C4"/>
    <w:rsid w:val="793C0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spacing w:beforeLines="30"/>
    </w:pPr>
    <w:rPr>
      <w:rFonts w:ascii="仿宋_GB2312" w:eastAsia="仿宋_GB2312"/>
      <w:kern w:val="0"/>
      <w:sz w:val="30"/>
    </w:rPr>
  </w:style>
  <w:style w:type="paragraph" w:styleId="5">
    <w:name w:val="Balloon Text"/>
    <w:basedOn w:val="1"/>
    <w:link w:val="15"/>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styleId="13">
    <w:name w:val="page number"/>
    <w:basedOn w:val="11"/>
    <w:qFormat/>
    <w:uiPriority w:val="0"/>
  </w:style>
  <w:style w:type="character" w:styleId="14">
    <w:name w:val="Hyperlink"/>
    <w:basedOn w:val="11"/>
    <w:unhideWhenUsed/>
    <w:qFormat/>
    <w:uiPriority w:val="99"/>
    <w:rPr>
      <w:color w:val="0000FF" w:themeColor="hyperlink"/>
      <w:u w:val="single"/>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character" w:customStyle="1" w:styleId="17">
    <w:name w:val="标题 2 Char"/>
    <w:basedOn w:val="11"/>
    <w:link w:val="3"/>
    <w:qFormat/>
    <w:uiPriority w:val="9"/>
    <w:rPr>
      <w:rFonts w:asciiTheme="majorHAnsi" w:hAnsiTheme="majorHAnsi" w:eastAsiaTheme="majorEastAsia" w:cstheme="majorBidi"/>
      <w:b/>
      <w:bCs/>
      <w:sz w:val="32"/>
      <w:szCs w:val="32"/>
    </w:rPr>
  </w:style>
  <w:style w:type="paragraph" w:styleId="18">
    <w:name w:val="List Paragraph"/>
    <w:basedOn w:val="1"/>
    <w:qFormat/>
    <w:uiPriority w:val="34"/>
    <w:pPr>
      <w:ind w:firstLine="420" w:firstLineChars="200"/>
    </w:pPr>
  </w:style>
  <w:style w:type="character" w:customStyle="1" w:styleId="19">
    <w:name w:val="正文文本 Char"/>
    <w:basedOn w:val="11"/>
    <w:link w:val="4"/>
    <w:qFormat/>
    <w:uiPriority w:val="99"/>
    <w:rPr>
      <w:rFonts w:ascii="仿宋_GB2312" w:hAnsi="Times New Roman" w:eastAsia="仿宋_GB2312" w:cs="Times New Roman"/>
      <w:kern w:val="0"/>
      <w:sz w:val="30"/>
      <w:szCs w:val="24"/>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22">
    <w:name w:val="〖B01〗一级标题"/>
    <w:next w:val="1"/>
    <w:qFormat/>
    <w:uiPriority w:val="0"/>
    <w:pPr>
      <w:numPr>
        <w:ilvl w:val="0"/>
        <w:numId w:val="1"/>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23">
    <w:name w:val="〖B02〗二级标题"/>
    <w:next w:val="1"/>
    <w:qFormat/>
    <w:uiPriority w:val="0"/>
    <w:pPr>
      <w:widowControl w:val="0"/>
      <w:numPr>
        <w:ilvl w:val="0"/>
        <w:numId w:val="2"/>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24">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0938250000000002"/>
          <c:y val="0.127"/>
          <c:w val="0.882425"/>
          <c:h val="0.716566666666667"/>
        </c:manualLayout>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54580.58</c:v>
                </c:pt>
                <c:pt idx="1">
                  <c:v>54580.58</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69123.96</c:v>
                </c:pt>
                <c:pt idx="1">
                  <c:v>86659.63</c:v>
                </c:pt>
              </c:numCache>
            </c:numRef>
          </c:val>
        </c:ser>
        <c:dLbls>
          <c:showLegendKey val="0"/>
          <c:showVal val="0"/>
          <c:showCatName val="0"/>
          <c:showSerName val="0"/>
          <c:showPercent val="0"/>
          <c:showBubbleSize val="0"/>
        </c:dLbls>
        <c:gapWidth val="219"/>
        <c:overlap val="-27"/>
        <c:axId val="76372224"/>
        <c:axId val="76410880"/>
      </c:barChart>
      <c:catAx>
        <c:axId val="763722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10880"/>
        <c:crosses val="autoZero"/>
        <c:auto val="1"/>
        <c:lblAlgn val="ctr"/>
        <c:lblOffset val="100"/>
        <c:noMultiLvlLbl val="0"/>
      </c:catAx>
      <c:valAx>
        <c:axId val="76410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372224"/>
        <c:crosses val="autoZero"/>
        <c:crossBetween val="between"/>
      </c:valAx>
      <c:spPr>
        <a:noFill/>
        <a:ln>
          <a:noFill/>
        </a:ln>
        <a:effectLst/>
      </c:spPr>
    </c:plotArea>
    <c:legend>
      <c:legendPos val="b"/>
      <c:layout>
        <c:manualLayout>
          <c:xMode val="edge"/>
          <c:yMode val="edge"/>
          <c:x val="0.403562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09f2ce8-09b4-4066-8e14-397e79ded76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elete val="1"/>
          </c:dLbls>
          <c:cat>
            <c:strRef>
              <c:f>Sheet1!$A$2:$A$4</c:f>
              <c:strCache>
                <c:ptCount val="3"/>
                <c:pt idx="0">
                  <c:v>一般公共预算收入</c:v>
                </c:pt>
                <c:pt idx="1">
                  <c:v>政府性基金预算收入</c:v>
                </c:pt>
                <c:pt idx="2">
                  <c:v>其他收入</c:v>
                </c:pt>
              </c:strCache>
            </c:strRef>
          </c:cat>
          <c:val>
            <c:numRef>
              <c:f>Sheet1!$B$2:$B$4</c:f>
              <c:numCache>
                <c:formatCode>General</c:formatCode>
                <c:ptCount val="3"/>
                <c:pt idx="0">
                  <c:v>743.35</c:v>
                </c:pt>
                <c:pt idx="1">
                  <c:v>31398.61</c:v>
                </c:pt>
                <c:pt idx="2">
                  <c:v>36980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4254807692308"/>
          <c:y val="0.382497826716894"/>
          <c:w val="0.246514423076923"/>
          <c:h val="0.53665604172703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b24d6a1-e5d4-4297-82af-1477cc90e549}"/>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支出决算结构图</a:t>
            </a:r>
            <a:endParaRPr lang="zh-CN" altLang="en-US"/>
          </a:p>
        </c:rich>
      </c:tx>
      <c:layout/>
      <c:overlay val="0"/>
      <c:spPr>
        <a:noFill/>
        <a:ln>
          <a:noFill/>
        </a:ln>
        <a:effectLst/>
      </c:spPr>
    </c:title>
    <c:autoTitleDeleted val="0"/>
    <c:plotArea>
      <c:layout>
        <c:manualLayout>
          <c:layoutTarget val="inner"/>
          <c:xMode val="edge"/>
          <c:yMode val="edge"/>
          <c:x val="0.293571988502744"/>
          <c:y val="0.22271223814774"/>
          <c:w val="0.426574340214267"/>
          <c:h val="0.719955898566703"/>
        </c:manualLayout>
      </c:layout>
      <c:pieChart>
        <c:varyColors val="1"/>
        <c:ser>
          <c:idx val="0"/>
          <c:order val="0"/>
          <c:tx>
            <c:strRef>
              <c:f>Sheet1!$B$1</c:f>
              <c:strCache>
                <c:ptCount val="1"/>
                <c:pt idx="0">
                  <c:v>支出决算结构图</c:v>
                </c:pt>
              </c:strCache>
            </c:strRef>
          </c:tx>
          <c:explosion val="3"/>
          <c:dPt>
            <c:idx val="0"/>
            <c:bubble3D val="0"/>
            <c:spPr>
              <a:solidFill>
                <a:srgbClr val="4F81BD"/>
              </a:solidFill>
              <a:ln w="25400" cmpd="thickThin">
                <a:solidFill>
                  <a:srgbClr val="519D39"/>
                </a:solidFill>
                <a:prstDash val="solid"/>
              </a:ln>
              <a:effectLst/>
            </c:spPr>
          </c:dPt>
          <c:dPt>
            <c:idx val="1"/>
            <c:bubble3D val="0"/>
            <c:explosion val="22"/>
            <c:spPr>
              <a:solidFill>
                <a:srgbClr val="C0504D"/>
              </a:solidFill>
              <a:ln w="25400" cmpd="thickThin">
                <a:solidFill>
                  <a:srgbClr val="6B5AA8"/>
                </a:solidFill>
                <a:prstDash val="solid"/>
              </a:ln>
              <a:effectLst/>
            </c:spPr>
          </c:dPt>
          <c:dLbls>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30.23</c:v>
                </c:pt>
                <c:pt idx="1">
                  <c:v>86629.38</c:v>
                </c:pt>
              </c:numCache>
            </c:numRef>
          </c:val>
        </c:ser>
        <c:dLbls>
          <c:showLegendKey val="0"/>
          <c:showVal val="1"/>
          <c:showCatName val="0"/>
          <c:showSerName val="0"/>
          <c:showPercent val="0"/>
          <c:showBubbleSize val="0"/>
          <c:showLeaderLines val="0"/>
        </c:dLbls>
        <c:firstSliceAng val="140"/>
      </c:pieChart>
      <c:spPr>
        <a:noFill/>
        <a:ln>
          <a:noFill/>
        </a:ln>
        <a:effectLst/>
      </c:spPr>
    </c:plotArea>
    <c:legend>
      <c:legendPos val="l"/>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ayout>
        <c:manualLayout>
          <c:xMode val="edge"/>
          <c:yMode val="edge"/>
          <c:x val="0.811383799976956"/>
          <c:y val="0.362239508107656"/>
          <c:w val="0.155086991588893"/>
          <c:h val="0.395694924262556"/>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04c55242-d973-41ee-9feb-d875a1dbc9b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b="0">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c:v>
                </c:pt>
              </c:strCache>
            </c:strRef>
          </c:tx>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54580.58</c:v>
                </c:pt>
                <c:pt idx="1">
                  <c:v>49125.13</c:v>
                </c:pt>
              </c:numCache>
            </c:numRef>
          </c:val>
        </c:ser>
        <c:ser>
          <c:idx val="1"/>
          <c:order val="1"/>
          <c:tx>
            <c:strRef>
              <c:f>Sheet1!$C$1</c:f>
              <c:strCache>
                <c:ptCount val="1"/>
                <c:pt idx="0">
                  <c:v>2018年</c:v>
                </c:pt>
              </c:strCache>
            </c:strRef>
          </c:tx>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32143.96</c:v>
                </c:pt>
                <c:pt idx="1">
                  <c:v>49679.63</c:v>
                </c:pt>
              </c:numCache>
            </c:numRef>
          </c:val>
        </c:ser>
        <c:dLbls>
          <c:showLegendKey val="0"/>
          <c:showVal val="0"/>
          <c:showCatName val="0"/>
          <c:showSerName val="0"/>
          <c:showPercent val="0"/>
          <c:showBubbleSize val="0"/>
        </c:dLbls>
        <c:gapWidth val="150"/>
        <c:axId val="50616576"/>
        <c:axId val="86188032"/>
      </c:barChart>
      <c:catAx>
        <c:axId val="506165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188032"/>
        <c:crosses val="autoZero"/>
        <c:auto val="1"/>
        <c:lblAlgn val="ctr"/>
        <c:lblOffset val="100"/>
        <c:noMultiLvlLbl val="0"/>
      </c:catAx>
      <c:valAx>
        <c:axId val="86188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6165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a9883e-5b0d-4f49-b162-44ce8181049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c:v>
                </c:pt>
              </c:strCache>
            </c:strRef>
          </c:tx>
          <c:invertIfNegative val="0"/>
          <c:dLbls>
            <c:delete val="1"/>
          </c:dLbls>
          <c:cat>
            <c:strRef>
              <c:f>Sheet1!$A$2</c:f>
              <c:strCache>
                <c:ptCount val="1"/>
                <c:pt idx="0">
                  <c:v>一般公共预算财政拨款支出</c:v>
                </c:pt>
              </c:strCache>
            </c:strRef>
          </c:cat>
          <c:val>
            <c:numRef>
              <c:f>Sheet1!$B$2</c:f>
              <c:numCache>
                <c:formatCode>General</c:formatCode>
                <c:ptCount val="1"/>
                <c:pt idx="0">
                  <c:v>1231.69</c:v>
                </c:pt>
              </c:numCache>
            </c:numRef>
          </c:val>
        </c:ser>
        <c:ser>
          <c:idx val="1"/>
          <c:order val="1"/>
          <c:tx>
            <c:strRef>
              <c:f>Sheet1!$C$1</c:f>
              <c:strCache>
                <c:ptCount val="1"/>
                <c:pt idx="0">
                  <c:v>2018年</c:v>
                </c:pt>
              </c:strCache>
            </c:strRef>
          </c:tx>
          <c:invertIfNegative val="0"/>
          <c:dLbls>
            <c:delete val="1"/>
          </c:dLbls>
          <c:cat>
            <c:strRef>
              <c:f>Sheet1!$A$2</c:f>
              <c:strCache>
                <c:ptCount val="1"/>
                <c:pt idx="0">
                  <c:v>一般公共预算财政拨款支出</c:v>
                </c:pt>
              </c:strCache>
            </c:strRef>
          </c:cat>
          <c:val>
            <c:numRef>
              <c:f>Sheet1!$C$2</c:f>
              <c:numCache>
                <c:formatCode>General</c:formatCode>
                <c:ptCount val="1"/>
                <c:pt idx="0">
                  <c:v>4189.34</c:v>
                </c:pt>
              </c:numCache>
            </c:numRef>
          </c:val>
        </c:ser>
        <c:dLbls>
          <c:showLegendKey val="0"/>
          <c:showVal val="0"/>
          <c:showCatName val="0"/>
          <c:showSerName val="0"/>
          <c:showPercent val="0"/>
          <c:showBubbleSize val="0"/>
        </c:dLbls>
        <c:gapWidth val="150"/>
        <c:axId val="86221568"/>
        <c:axId val="86223104"/>
      </c:barChart>
      <c:catAx>
        <c:axId val="86221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223104"/>
        <c:crosses val="autoZero"/>
        <c:auto val="1"/>
        <c:lblAlgn val="ctr"/>
        <c:lblOffset val="100"/>
        <c:noMultiLvlLbl val="0"/>
      </c:catAx>
      <c:valAx>
        <c:axId val="86223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2215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9f0fc0a-0ca7-4771-975b-06dd3f5a525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城乡社区支出类</c:v>
                </c:pt>
                <c:pt idx="1">
                  <c:v>节能环保类</c:v>
                </c:pt>
                <c:pt idx="2">
                  <c:v>国际海洋气象类</c:v>
                </c:pt>
                <c:pt idx="3">
                  <c:v>债务付息类</c:v>
                </c:pt>
                <c:pt idx="4">
                  <c:v>其他类</c:v>
                </c:pt>
              </c:strCache>
            </c:strRef>
          </c:cat>
          <c:val>
            <c:numRef>
              <c:f>Sheet1!$B$2:$B$6</c:f>
              <c:numCache>
                <c:formatCode>General</c:formatCode>
                <c:ptCount val="5"/>
                <c:pt idx="0">
                  <c:v>1263.83</c:v>
                </c:pt>
                <c:pt idx="1">
                  <c:v>44.88</c:v>
                </c:pt>
                <c:pt idx="2">
                  <c:v>211.91</c:v>
                </c:pt>
                <c:pt idx="3">
                  <c:v>488.55</c:v>
                </c:pt>
                <c:pt idx="4">
                  <c:v>2180.17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ade6455-1d1e-47c9-8ea8-8d1d560fd73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“三公”经费支出结构图</c:v>
                </c:pt>
              </c:strCache>
            </c:strRef>
          </c:tx>
          <c:explosion val="0"/>
          <c:dPt>
            <c:idx val="0"/>
            <c:bubble3D val="0"/>
          </c:dPt>
          <c:dPt>
            <c:idx val="1"/>
            <c:bubble3D val="0"/>
          </c:dPt>
          <c:dPt>
            <c:idx val="2"/>
            <c:bubble3D val="0"/>
          </c:dPt>
          <c:dLbls>
            <c:delete val="1"/>
          </c:dLbls>
          <c:cat>
            <c:strRef>
              <c:f>Sheet1!$A$2:$A$4</c:f>
              <c:strCache>
                <c:ptCount val="3"/>
                <c:pt idx="0">
                  <c:v>公务接待费</c:v>
                </c:pt>
                <c:pt idx="1">
                  <c:v>因公出境费</c:v>
                </c:pt>
                <c:pt idx="2">
                  <c:v>公车购置维修费</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13750d7-62c5-4c0f-82e4-80b136da2e6b}"/>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微软中国</Company>
  <Pages>34</Pages>
  <Words>8275</Words>
  <Characters>8912</Characters>
  <Lines>109</Lines>
  <Paragraphs>30</Paragraphs>
  <TotalTime>12</TotalTime>
  <ScaleCrop>false</ScaleCrop>
  <LinksUpToDate>false</LinksUpToDate>
  <CharactersWithSpaces>8977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2019-09-11T03:44:00Z</dcterms:created>
  <dc:creator>生态环境分局</dc:creator>
  <cp:lastModifiedBy>24</cp:lastModifiedBy>
  <dcterms:modified xsi:type="dcterms:W3CDTF">2025-01-20T03:54:48Z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eyJoZGlkIjoiZWE0MDZjMjBjMDIzNGYyNTI3NDRlYTIwZTE0N2M4YzMiLCJ1c2VySWQiOiI3MzE0NjU3MDEifQ==</vt:lpwstr>
  </property>
  <property fmtid="{D5CDD505-2E9C-101B-9397-08002B2CF9AE}" pid="4" name="ICV">
    <vt:lpwstr>BAA308F1FB46446195D84574AF889A6B_12</vt:lpwstr>
  </property>
</Properties>
</file>