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1" w:name="_Toc15377425"/>
      <w:bookmarkStart w:id="2" w:name="_Toc15396597"/>
      <w:bookmarkStart w:id="3" w:name="_Toc26484"/>
      <w:bookmarkStart w:id="4" w:name="_Toc15378441"/>
      <w:bookmarkStart w:id="5" w:name="_Toc15377193"/>
      <w:bookmarkStart w:id="6" w:name="_Toc15396475"/>
      <w:r>
        <w:rPr>
          <w:rFonts w:hint="eastAsia" w:ascii="方正小标宋简体" w:hAnsi="方正小标宋简体" w:eastAsia="方正小标宋简体" w:cs="方正小标宋简体"/>
          <w:color w:val="000000"/>
          <w:sz w:val="44"/>
          <w:szCs w:val="44"/>
        </w:rPr>
        <w:t>2020年度</w:t>
      </w:r>
      <w:bookmarkEnd w:id="1"/>
      <w:bookmarkEnd w:id="2"/>
      <w:bookmarkEnd w:id="3"/>
      <w:bookmarkEnd w:id="4"/>
      <w:bookmarkEnd w:id="5"/>
      <w:bookmarkEnd w:id="6"/>
    </w:p>
    <w:bookmarkEnd w:id="0"/>
    <w:p>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7" w:name="_Toc14965"/>
      <w:bookmarkStart w:id="8" w:name="_Toc15396476"/>
      <w:bookmarkStart w:id="9" w:name="_Toc15377426"/>
      <w:bookmarkStart w:id="10" w:name="_Toc15396598"/>
      <w:bookmarkStart w:id="11" w:name="_Toc15306268"/>
      <w:bookmarkStart w:id="12" w:name="_Toc15378442"/>
      <w:bookmarkStart w:id="13" w:name="_Toc15377194"/>
      <w:r>
        <w:rPr>
          <w:rFonts w:hint="eastAsia" w:ascii="方正小标宋简体" w:hAnsi="方正小标宋简体" w:eastAsia="方正小标宋简体" w:cs="方正小标宋简体"/>
          <w:color w:val="000000"/>
          <w:sz w:val="44"/>
          <w:szCs w:val="44"/>
        </w:rPr>
        <w:t>四川省乐山市自然资源局高新区分局</w:t>
      </w:r>
    </w:p>
    <w:p>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部门决算</w:t>
      </w:r>
      <w:bookmarkEnd w:id="7"/>
      <w:bookmarkEnd w:id="8"/>
      <w:bookmarkEnd w:id="9"/>
      <w:bookmarkEnd w:id="10"/>
      <w:bookmarkEnd w:id="11"/>
      <w:bookmarkEnd w:id="12"/>
      <w:bookmarkEnd w:id="13"/>
    </w:p>
    <w:p>
      <w:pPr>
        <w:adjustRightInd w:val="0"/>
        <w:snapToGrid w:val="0"/>
        <w:spacing w:line="360" w:lineRule="auto"/>
        <w:jc w:val="center"/>
        <w:rPr>
          <w:rFonts w:ascii="方正小标宋简体" w:hAnsi="宋体" w:eastAsia="方正小标宋简体"/>
          <w:color w:val="000000"/>
          <w:sz w:val="52"/>
          <w:szCs w:val="52"/>
        </w:rPr>
      </w:pPr>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2"/>
      </w:pPr>
      <w:r>
        <w:rPr>
          <w:rFonts w:hint="eastAsia"/>
        </w:rPr>
        <w:t>公开时间：2020年11月9日</w:t>
      </w:r>
    </w:p>
    <w:sdt>
      <w:sdtPr>
        <w:rPr>
          <w:rFonts w:ascii="宋体" w:hAnsi="宋体"/>
        </w:rPr>
        <w:id w:val="147469942"/>
        <w:docPartObj>
          <w:docPartGallery w:val="Table of Contents"/>
          <w:docPartUnique/>
        </w:docPartObj>
      </w:sdtPr>
      <w:sdtEndPr>
        <w:rPr>
          <w:rFonts w:ascii="宋体" w:hAnsi="宋体"/>
          <w:b/>
        </w:rPr>
      </w:sdtEndPr>
      <w:sdtContent>
        <w:p>
          <w:pPr>
            <w:jc w:val="center"/>
          </w:pPr>
          <w:bookmarkStart w:id="14" w:name="_Toc15377196"/>
          <w:bookmarkStart w:id="15" w:name="_Toc15396599"/>
        </w:p>
        <w:p>
          <w:pPr>
            <w:pStyle w:val="12"/>
            <w:tabs>
              <w:tab w:val="right" w:leader="dot" w:pos="8306"/>
              <w:tab w:val="clear" w:pos="8296"/>
            </w:tabs>
            <w:rPr>
              <w:rFonts w:cs="仿宋"/>
            </w:rPr>
          </w:pPr>
          <w:r>
            <w:rPr>
              <w:rFonts w:hint="eastAsia" w:cs="仿宋"/>
            </w:rPr>
            <w:fldChar w:fldCharType="begin"/>
          </w:r>
          <w:r>
            <w:rPr>
              <w:rFonts w:hint="eastAsia" w:cs="仿宋"/>
            </w:rPr>
            <w:instrText xml:space="preserve">TOC \o "1-2" \h \u </w:instrText>
          </w:r>
          <w:r>
            <w:rPr>
              <w:rFonts w:hint="eastAsia" w:cs="仿宋"/>
            </w:rPr>
            <w:fldChar w:fldCharType="separate"/>
          </w:r>
          <w:r>
            <w:fldChar w:fldCharType="begin"/>
          </w:r>
          <w:r>
            <w:instrText xml:space="preserve"> HYPERLINK \l "_Toc2451" </w:instrText>
          </w:r>
          <w:r>
            <w:fldChar w:fldCharType="separate"/>
          </w:r>
          <w:r>
            <w:rPr>
              <w:rFonts w:hint="eastAsia" w:cs="仿宋"/>
              <w:b/>
              <w:bCs/>
            </w:rPr>
            <w:t>第一部分 部门概况</w:t>
          </w:r>
          <w:r>
            <w:rPr>
              <w:rFonts w:hint="eastAsia" w:cs="仿宋"/>
              <w:b/>
              <w:bCs/>
            </w:rPr>
            <w:tab/>
          </w:r>
          <w:r>
            <w:rPr>
              <w:rFonts w:hint="eastAsia" w:cs="仿宋"/>
              <w:b/>
              <w:bCs/>
            </w:rPr>
            <w:fldChar w:fldCharType="begin"/>
          </w:r>
          <w:r>
            <w:rPr>
              <w:rFonts w:hint="eastAsia" w:cs="仿宋"/>
              <w:b/>
              <w:bCs/>
            </w:rPr>
            <w:instrText xml:space="preserve"> PAGEREF _Toc2451 \h </w:instrText>
          </w:r>
          <w:r>
            <w:rPr>
              <w:rFonts w:hint="eastAsia" w:cs="仿宋"/>
              <w:b/>
              <w:bCs/>
            </w:rPr>
            <w:fldChar w:fldCharType="separate"/>
          </w:r>
          <w:r>
            <w:rPr>
              <w:rFonts w:hint="eastAsia" w:cs="仿宋"/>
              <w:b/>
              <w:bCs/>
            </w:rPr>
            <w:t>4</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"_Toc2007" </w:instrText>
          </w:r>
          <w:r>
            <w:fldChar w:fldCharType="separate"/>
          </w:r>
          <w:r>
            <w:rPr>
              <w:rFonts w:hint="eastAsia" w:ascii="仿宋" w:hAnsi="仿宋" w:eastAsia="仿宋" w:cs="仿宋"/>
              <w:sz w:val="28"/>
              <w:szCs w:val="28"/>
            </w:rPr>
            <w:t>一、 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"_Toc5492"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"_Toc20237" </w:instrText>
          </w:r>
          <w:r>
            <w:fldChar w:fldCharType="separate"/>
          </w:r>
          <w:r>
            <w:rPr>
              <w:rFonts w:hint="eastAsia" w:cs="仿宋"/>
              <w:b/>
              <w:bCs/>
            </w:rPr>
            <w:t>第二部分 2020年度部门决算情况说明</w:t>
          </w:r>
          <w:r>
            <w:rPr>
              <w:rFonts w:hint="eastAsia" w:cs="仿宋"/>
              <w:b/>
              <w:bCs/>
            </w:rPr>
            <w:tab/>
          </w:r>
          <w:r>
            <w:rPr>
              <w:rFonts w:hint="eastAsia" w:cs="仿宋"/>
              <w:b/>
              <w:bCs/>
            </w:rPr>
            <w:fldChar w:fldCharType="begin"/>
          </w:r>
          <w:r>
            <w:rPr>
              <w:rFonts w:hint="eastAsia" w:cs="仿宋"/>
              <w:b/>
              <w:bCs/>
            </w:rPr>
            <w:instrText xml:space="preserve"> PAGEREF _Toc20237 \h </w:instrText>
          </w:r>
          <w:r>
            <w:rPr>
              <w:rFonts w:hint="eastAsia" w:cs="仿宋"/>
              <w:b/>
              <w:bCs/>
            </w:rPr>
            <w:fldChar w:fldCharType="separate"/>
          </w:r>
          <w:r>
            <w:rPr>
              <w:rFonts w:hint="eastAsia" w:cs="仿宋"/>
              <w:b/>
              <w:bCs/>
            </w:rPr>
            <w:t>6</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"_Toc18406"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"_Toc17821"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_Toc17821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"_Toc18465"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_Toc18465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"_Toc28747"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_Toc28747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"_Toc16540"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"_Toc11625"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_Toc11625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"_Toc25909"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_Toc25909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"_Toc15592"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_Toc15592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"_Toc2937"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"_Toc26109" </w:instrText>
          </w:r>
          <w: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_Toc26109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"_Toc28216" </w:instrText>
          </w:r>
          <w:r>
            <w:fldChar w:fldCharType="separate"/>
          </w:r>
          <w:r>
            <w:rPr>
              <w:rFonts w:hint="eastAsia" w:cs="仿宋"/>
              <w:b/>
              <w:bCs/>
            </w:rPr>
            <w:t>第三部分 名词解释</w:t>
          </w:r>
          <w:r>
            <w:rPr>
              <w:rFonts w:hint="eastAsia" w:cs="仿宋"/>
              <w:b/>
              <w:bCs/>
            </w:rPr>
            <w:tab/>
          </w:r>
          <w:r>
            <w:rPr>
              <w:rFonts w:hint="eastAsia" w:cs="仿宋"/>
              <w:b/>
              <w:bCs/>
            </w:rPr>
            <w:fldChar w:fldCharType="begin"/>
          </w:r>
          <w:r>
            <w:rPr>
              <w:rFonts w:hint="eastAsia" w:cs="仿宋"/>
              <w:b/>
              <w:bCs/>
            </w:rPr>
            <w:instrText xml:space="preserve"> PAGEREF _Toc28216 \h </w:instrText>
          </w:r>
          <w:r>
            <w:rPr>
              <w:rFonts w:hint="eastAsia" w:cs="仿宋"/>
              <w:b/>
              <w:bCs/>
            </w:rPr>
            <w:fldChar w:fldCharType="separate"/>
          </w:r>
          <w:r>
            <w:rPr>
              <w:rFonts w:hint="eastAsia" w:cs="仿宋"/>
              <w:b/>
              <w:bCs/>
            </w:rPr>
            <w:t>24</w:t>
          </w:r>
          <w:r>
            <w:rPr>
              <w:rFonts w:hint="eastAsia" w:cs="仿宋"/>
              <w:b/>
              <w:bCs/>
            </w:rPr>
            <w:fldChar w:fldCharType="end"/>
          </w:r>
          <w:r>
            <w:rPr>
              <w:rFonts w:hint="eastAsia" w:cs="仿宋"/>
              <w:b/>
              <w:bCs/>
            </w:rPr>
            <w:fldChar w:fldCharType="end"/>
          </w:r>
        </w:p>
        <w:p>
          <w:pPr>
            <w:pStyle w:val="12"/>
            <w:tabs>
              <w:tab w:val="right" w:leader="dot" w:pos="8306"/>
              <w:tab w:val="clear" w:pos="8296"/>
            </w:tabs>
            <w:rPr>
              <w:rFonts w:cs="仿宋"/>
            </w:rPr>
          </w:pPr>
          <w:r>
            <w:fldChar w:fldCharType="begin"/>
          </w:r>
          <w:r>
            <w:instrText xml:space="preserve"> HYPERLINK \l "_Toc3807" </w:instrText>
          </w:r>
          <w:r>
            <w:fldChar w:fldCharType="separate"/>
          </w:r>
          <w:r>
            <w:rPr>
              <w:rFonts w:hint="eastAsia" w:cs="仿宋"/>
              <w:b/>
              <w:bCs/>
            </w:rPr>
            <w:t>第四部分 附件</w:t>
          </w:r>
          <w:r>
            <w:rPr>
              <w:rFonts w:hint="eastAsia" w:cs="仿宋"/>
              <w:b/>
              <w:bCs/>
            </w:rPr>
            <w:tab/>
          </w:r>
          <w:r>
            <w:rPr>
              <w:rFonts w:hint="eastAsia" w:cs="仿宋"/>
              <w:b/>
              <w:bCs/>
            </w:rPr>
            <w:fldChar w:fldCharType="begin"/>
          </w:r>
          <w:r>
            <w:rPr>
              <w:rFonts w:hint="eastAsia" w:cs="仿宋"/>
              <w:b/>
              <w:bCs/>
            </w:rPr>
            <w:instrText xml:space="preserve"> PAGEREF _Toc3807 \h </w:instrText>
          </w:r>
          <w:r>
            <w:rPr>
              <w:rFonts w:hint="eastAsia" w:cs="仿宋"/>
              <w:b/>
              <w:bCs/>
            </w:rPr>
            <w:fldChar w:fldCharType="separate"/>
          </w:r>
          <w:r>
            <w:rPr>
              <w:rFonts w:hint="eastAsia" w:cs="仿宋"/>
              <w:b/>
              <w:bCs/>
            </w:rPr>
            <w:t>29</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"_Toc16086" </w:instrText>
          </w:r>
          <w: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_Toc16086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 w:val="clear" w:pos="8296"/>
            </w:tabs>
            <w:rPr>
              <w:rFonts w:cs="仿宋"/>
              <w:b/>
              <w:bCs/>
            </w:rPr>
          </w:pPr>
          <w:r>
            <w:fldChar w:fldCharType="begin"/>
          </w:r>
          <w:r>
            <w:instrText xml:space="preserve"> HYPERLINK \l "_Toc31214" </w:instrText>
          </w:r>
          <w:r>
            <w:fldChar w:fldCharType="separate"/>
          </w:r>
          <w:r>
            <w:rPr>
              <w:rFonts w:hint="eastAsia" w:cs="仿宋"/>
              <w:b/>
              <w:bCs/>
            </w:rPr>
            <w:t>第五部分 附表</w:t>
          </w:r>
          <w:r>
            <w:rPr>
              <w:rFonts w:hint="eastAsia" w:cs="仿宋"/>
              <w:b/>
              <w:bCs/>
            </w:rPr>
            <w:tab/>
          </w:r>
          <w:r>
            <w:rPr>
              <w:rFonts w:hint="eastAsia" w:cs="仿宋"/>
              <w:b/>
              <w:bCs/>
            </w:rPr>
            <w:fldChar w:fldCharType="begin"/>
          </w:r>
          <w:r>
            <w:rPr>
              <w:rFonts w:hint="eastAsia" w:cs="仿宋"/>
              <w:b/>
              <w:bCs/>
            </w:rPr>
            <w:instrText xml:space="preserve"> PAGEREF _Toc31214 \h </w:instrText>
          </w:r>
          <w:r>
            <w:rPr>
              <w:rFonts w:hint="eastAsia" w:cs="仿宋"/>
              <w:b/>
              <w:bCs/>
            </w:rPr>
            <w:fldChar w:fldCharType="separate"/>
          </w:r>
          <w:r>
            <w:rPr>
              <w:rFonts w:hint="eastAsia" w:cs="仿宋"/>
              <w:b/>
              <w:bCs/>
            </w:rPr>
            <w:t>35</w:t>
          </w:r>
          <w:r>
            <w:rPr>
              <w:rFonts w:hint="eastAsia" w:cs="仿宋"/>
              <w:b/>
              <w:bCs/>
            </w:rPr>
            <w:fldChar w:fldCharType="end"/>
          </w:r>
          <w:r>
            <w:rPr>
              <w:rFonts w:hint="eastAsia" w:cs="仿宋"/>
              <w:b/>
              <w:bCs/>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"_Toc3440"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"_Toc25157"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_Toc25157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"_Toc10980"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_Toc10980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"_Toc23585"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_Toc23585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"_Toc17873"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_Toc17873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"_Toc29816"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"_Toc14733"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_Toc14733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"_Toc31392"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_Toc31392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"_Toc15393"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"_Toc2143"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"_Toc21654"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_Toc21654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"_Toc29576"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_Toc29576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"_Toc2205"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 w:val="clear" w:pos="8296"/>
            </w:tabs>
            <w:rPr>
              <w:rFonts w:ascii="仿宋" w:hAnsi="仿宋" w:eastAsia="仿宋" w:cs="仿宋"/>
              <w:sz w:val="28"/>
              <w:szCs w:val="28"/>
            </w:rPr>
          </w:pPr>
          <w:r>
            <w:fldChar w:fldCharType="begin"/>
          </w:r>
          <w:r>
            <w:instrText xml:space="preserve"> HYPERLINK \l "_Toc15761"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 w:val="28"/>
              <w:szCs w:val="28"/>
            </w:rP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spacing w:before="0" w:after="0" w:line="560" w:lineRule="exact"/>
        <w:jc w:val="center"/>
        <w:rPr>
          <w:rStyle w:val="29"/>
          <w:rFonts w:ascii="黑体" w:hAnsi="黑体" w:eastAsia="黑体"/>
          <w:b/>
          <w:bCs w:val="0"/>
        </w:rPr>
      </w:pPr>
      <w:bookmarkStart w:id="16" w:name="_Toc2451"/>
      <w:r>
        <w:rPr>
          <w:rFonts w:hint="eastAsia" w:ascii="方正小标宋简体" w:hAnsi="方正小标宋简体" w:eastAsia="方正小标宋简体" w:cs="方正小标宋简体"/>
          <w:b w:val="0"/>
        </w:rPr>
        <w:t xml:space="preserve">第一部分 </w:t>
      </w:r>
      <w:r>
        <w:rPr>
          <w:rStyle w:val="29"/>
          <w:rFonts w:hint="eastAsia" w:ascii="方正小标宋简体" w:hAnsi="方正小标宋简体" w:eastAsia="方正小标宋简体" w:cs="方正小标宋简体"/>
          <w:b w:val="0"/>
          <w:bCs w:val="0"/>
        </w:rPr>
        <w:t>部门概况</w:t>
      </w:r>
      <w:bookmarkEnd w:id="14"/>
      <w:bookmarkEnd w:id="15"/>
      <w:bookmarkEnd w:id="16"/>
    </w:p>
    <w:p>
      <w:pPr>
        <w:widowControl/>
        <w:spacing w:line="560" w:lineRule="exact"/>
        <w:jc w:val="left"/>
        <w:rPr>
          <w:rFonts w:ascii="黑体" w:eastAsia="黑体"/>
          <w:color w:val="000000"/>
          <w:sz w:val="32"/>
          <w:szCs w:val="32"/>
        </w:rPr>
      </w:pPr>
    </w:p>
    <w:p>
      <w:pPr>
        <w:pStyle w:val="2"/>
        <w:numPr>
          <w:ilvl w:val="0"/>
          <w:numId w:val="2"/>
        </w:numPr>
        <w:spacing w:before="0" w:after="0" w:line="560" w:lineRule="exact"/>
        <w:rPr>
          <w:rStyle w:val="30"/>
          <w:rFonts w:ascii="黑体" w:hAnsi="黑体" w:eastAsia="黑体"/>
          <w:b w:val="0"/>
          <w:bCs w:val="0"/>
        </w:rPr>
      </w:pPr>
      <w:bookmarkStart w:id="17" w:name="_Toc2007"/>
      <w:bookmarkStart w:id="18" w:name="_Toc15377197"/>
      <w:bookmarkStart w:id="19" w:name="_Toc15396600"/>
      <w:r>
        <w:rPr>
          <w:rFonts w:hint="eastAsia" w:ascii="黑体" w:hAnsi="黑体" w:eastAsia="黑体"/>
          <w:b w:val="0"/>
          <w:color w:val="000000"/>
        </w:rPr>
        <w:t>基</w:t>
      </w:r>
      <w:r>
        <w:rPr>
          <w:rStyle w:val="30"/>
          <w:rFonts w:hint="eastAsia" w:ascii="黑体" w:hAnsi="黑体" w:eastAsia="黑体"/>
          <w:b w:val="0"/>
          <w:bCs w:val="0"/>
        </w:rPr>
        <w:t>本职能及主要工作</w:t>
      </w:r>
      <w:bookmarkEnd w:id="17"/>
      <w:bookmarkEnd w:id="18"/>
      <w:bookmarkEnd w:id="19"/>
    </w:p>
    <w:p>
      <w:pPr>
        <w:pStyle w:val="7"/>
        <w:numPr>
          <w:ilvl w:val="0"/>
          <w:numId w:val="3"/>
        </w:numPr>
        <w:adjustRightInd w:val="0"/>
        <w:snapToGrid w:val="0"/>
        <w:spacing w:beforeLines="0" w:line="560" w:lineRule="exact"/>
        <w:ind w:firstLine="672"/>
        <w:rPr>
          <w:rFonts w:hAnsi="仿宋_GB2312" w:cs="仿宋_GB2312"/>
          <w:bCs/>
          <w:color w:val="000000"/>
          <w:sz w:val="32"/>
          <w:szCs w:val="32"/>
        </w:rPr>
      </w:pPr>
      <w:bookmarkStart w:id="20" w:name="_Toc15377198"/>
      <w:bookmarkStart w:id="21" w:name="_Toc15378445"/>
      <w:r>
        <w:rPr>
          <w:rFonts w:hint="eastAsia" w:hAnsi="仿宋_GB2312" w:cs="仿宋_GB2312"/>
          <w:bCs/>
          <w:color w:val="000000"/>
          <w:sz w:val="32"/>
          <w:szCs w:val="32"/>
        </w:rPr>
        <w:t>主要职能。</w:t>
      </w:r>
      <w:bookmarkEnd w:id="20"/>
      <w:bookmarkEnd w:id="21"/>
    </w:p>
    <w:p>
      <w:pPr>
        <w:pStyle w:val="7"/>
        <w:adjustRightInd w:val="0"/>
        <w:snapToGrid w:val="0"/>
        <w:spacing w:beforeLines="0" w:line="560" w:lineRule="exact"/>
        <w:ind w:firstLine="640" w:firstLineChars="200"/>
        <w:rPr>
          <w:rFonts w:hAnsi="仿宋_GB2312" w:cs="仿宋_GB2312"/>
          <w:bCs/>
          <w:color w:val="000000"/>
          <w:sz w:val="32"/>
          <w:szCs w:val="32"/>
        </w:rPr>
      </w:pPr>
      <w:bookmarkStart w:id="22" w:name="_Toc15378446"/>
      <w:bookmarkStart w:id="23" w:name="_Toc15377199"/>
      <w:r>
        <w:rPr>
          <w:rFonts w:hint="eastAsia" w:hAnsi="仿宋_GB2312" w:cs="仿宋_GB2312"/>
          <w:bCs/>
          <w:color w:val="000000"/>
          <w:sz w:val="32"/>
          <w:szCs w:val="32"/>
        </w:rPr>
        <w:t>基本职能：代表市自然资源局负责辖区内土地资源、矿产资源等自然资源的规划、管理、保护、合理利用和土地市场管理；组织协调开展辖区内地质灾害防治和森林防火；负责土地林地征收征用管理；负责辖区内空间规划、耕保、报批、利用、地籍地政管理等相关工作。</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2021年，高新区自然资源分局主要工作是保护辖区内国土资源，高质量完成规划工作，助力高新区经济增长，做好防灾减灾工作。</w:t>
      </w:r>
    </w:p>
    <w:p>
      <w:pPr>
        <w:pStyle w:val="7"/>
        <w:adjustRightInd w:val="0"/>
        <w:snapToGrid w:val="0"/>
        <w:spacing w:beforeLines="0" w:line="560" w:lineRule="exact"/>
        <w:ind w:firstLine="640" w:firstLineChars="200"/>
        <w:rPr>
          <w:rFonts w:hAnsi="仿宋_GB2312" w:cs="仿宋_GB2312"/>
          <w:sz w:val="32"/>
          <w:szCs w:val="21"/>
          <w:shd w:val="clear" w:color="auto" w:fill="FFFFFF"/>
        </w:rPr>
      </w:pPr>
      <w:r>
        <w:rPr>
          <w:rFonts w:hint="eastAsia" w:hAnsi="仿宋_GB2312" w:cs="仿宋_GB2312"/>
          <w:bCs/>
          <w:color w:val="000000"/>
          <w:sz w:val="32"/>
          <w:szCs w:val="32"/>
        </w:rPr>
        <w:t>（二）2020年重点工作完成情况。</w:t>
      </w:r>
      <w:bookmarkEnd w:id="22"/>
      <w:bookmarkEnd w:id="23"/>
    </w:p>
    <w:p>
      <w:pPr>
        <w:spacing w:line="560" w:lineRule="exact"/>
        <w:ind w:firstLine="640" w:firstLineChars="200"/>
        <w:rPr>
          <w:rFonts w:ascii="仿宋_GB2312" w:hAnsi="仿宋_GB2312" w:eastAsia="仿宋_GB2312" w:cs="仿宋_GB2312"/>
          <w:sz w:val="32"/>
          <w:szCs w:val="32"/>
        </w:rPr>
      </w:pPr>
      <w:bookmarkStart w:id="24" w:name="_Toc15396601"/>
      <w:bookmarkStart w:id="25" w:name="_Toc5492"/>
      <w:bookmarkStart w:id="26" w:name="_Toc15377200"/>
      <w:r>
        <w:rPr>
          <w:rFonts w:hint="eastAsia" w:ascii="仿宋_GB2312" w:hAnsi="仿宋_GB2312" w:eastAsia="仿宋_GB2312" w:cs="仿宋_GB2312"/>
          <w:sz w:val="32"/>
          <w:szCs w:val="32"/>
        </w:rPr>
        <w:t>1.完成生态保护任务。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2.加强执法监察和动态巡查监管。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4.严格推进2016-2019年卫片执法违法用地整改工作。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5.认真开展2020年度卫片执法工作，下发卫片执法图斑共28个。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6.认真做好林业管护工作，完成6000亩造林任务。</w:t>
      </w:r>
    </w:p>
    <w:p>
      <w:pPr>
        <w:pStyle w:val="2"/>
        <w:spacing w:before="0" w:after="0" w:line="560" w:lineRule="exact"/>
        <w:rPr>
          <w:rStyle w:val="30"/>
          <w:rFonts w:ascii="黑体" w:hAnsi="黑体" w:eastAsia="黑体" w:cs="黑体"/>
          <w:b w:val="0"/>
          <w:bCs w:val="0"/>
        </w:rPr>
      </w:pPr>
      <w:r>
        <w:rPr>
          <w:rFonts w:hint="eastAsia" w:ascii="黑体" w:hAnsi="黑体" w:eastAsia="黑体" w:cs="黑体"/>
          <w:b w:val="0"/>
          <w:color w:val="000000"/>
        </w:rPr>
        <w:t>二、机</w:t>
      </w:r>
      <w:r>
        <w:rPr>
          <w:rStyle w:val="30"/>
          <w:rFonts w:hint="eastAsia" w:ascii="黑体" w:hAnsi="黑体" w:eastAsia="黑体" w:cs="黑体"/>
          <w:b w:val="0"/>
          <w:bCs w:val="0"/>
        </w:rPr>
        <w:t>构设置</w:t>
      </w:r>
      <w:bookmarkEnd w:id="24"/>
      <w:bookmarkEnd w:id="25"/>
      <w:bookmarkEnd w:id="26"/>
    </w:p>
    <w:p>
      <w:pPr>
        <w:spacing w:line="560" w:lineRule="exact"/>
        <w:ind w:firstLine="640" w:firstLineChars="200"/>
        <w:rPr>
          <w:rFonts w:ascii="仿宋" w:hAnsi="仿宋" w:eastAsia="仿宋"/>
          <w:color w:val="000000"/>
          <w:kern w:val="0"/>
          <w:sz w:val="32"/>
          <w:szCs w:val="32"/>
        </w:rPr>
      </w:pPr>
      <w:r>
        <w:rPr>
          <w:rFonts w:hint="eastAsia" w:ascii="仿宋_GB2312" w:hAnsi="仿宋_GB2312" w:eastAsia="仿宋_GB2312" w:cs="仿宋_GB2312"/>
          <w:sz w:val="32"/>
          <w:szCs w:val="32"/>
        </w:rPr>
        <w:t>四川省乐山市自然资源局高新区分局下属二级单位0个，其中行政单位0个，参照公务员法管理的事业单位0个，其他事业单位0个。年末实有人数5人，其中：参照公务员法管理事业人员5人。</w:t>
      </w:r>
      <w:r>
        <w:rPr>
          <w:rFonts w:hint="eastAsia" w:ascii="仿宋_GB2312" w:hAnsi="仿宋_GB2312" w:eastAsia="仿宋_GB2312" w:cs="仿宋_GB2312"/>
          <w:color w:val="000000"/>
          <w:sz w:val="32"/>
          <w:szCs w:val="32"/>
        </w:rPr>
        <w:br w:type="page"/>
      </w:r>
    </w:p>
    <w:p>
      <w:pPr>
        <w:pStyle w:val="3"/>
        <w:spacing w:before="0" w:after="0" w:line="560" w:lineRule="exact"/>
        <w:ind w:right="442"/>
        <w:jc w:val="right"/>
        <w:rPr>
          <w:rStyle w:val="29"/>
          <w:rFonts w:ascii="方正小标宋简体" w:hAnsi="方正小标宋简体" w:eastAsia="方正小标宋简体" w:cs="方正小标宋简体"/>
          <w:b w:val="0"/>
          <w:bCs w:val="0"/>
        </w:rPr>
      </w:pPr>
      <w:bookmarkStart w:id="27" w:name="_Toc15377204"/>
      <w:bookmarkStart w:id="28" w:name="_Toc20237"/>
      <w:bookmarkStart w:id="29" w:name="_Toc15396602"/>
      <w:r>
        <w:rPr>
          <w:rFonts w:hint="eastAsia" w:ascii="方正小标宋简体" w:hAnsi="方正小标宋简体" w:eastAsia="方正小标宋简体" w:cs="方正小标宋简体"/>
          <w:b w:val="0"/>
          <w:color w:val="000000"/>
        </w:rPr>
        <w:t>第二部分</w:t>
      </w:r>
      <w:r>
        <w:rPr>
          <w:rStyle w:val="29"/>
          <w:rFonts w:hint="eastAsia" w:ascii="方正小标宋简体" w:hAnsi="方正小标宋简体" w:eastAsia="方正小标宋简体" w:cs="方正小标宋简体"/>
          <w:b w:val="0"/>
          <w:bCs w:val="0"/>
        </w:rPr>
        <w:t>2020年度部门决算情况说明</w:t>
      </w:r>
      <w:bookmarkEnd w:id="27"/>
      <w:bookmarkEnd w:id="28"/>
      <w:bookmarkEnd w:id="29"/>
    </w:p>
    <w:p>
      <w:pPr>
        <w:spacing w:line="560" w:lineRule="exact"/>
      </w:pPr>
    </w:p>
    <w:p>
      <w:pPr>
        <w:pStyle w:val="28"/>
        <w:numPr>
          <w:ilvl w:val="0"/>
          <w:numId w:val="4"/>
        </w:numPr>
        <w:spacing w:line="560" w:lineRule="exact"/>
        <w:ind w:firstLineChars="0"/>
        <w:outlineLvl w:val="1"/>
        <w:rPr>
          <w:rStyle w:val="30"/>
          <w:rFonts w:ascii="黑体" w:hAnsi="黑体" w:eastAsia="黑体"/>
          <w:b w:val="0"/>
        </w:rPr>
      </w:pPr>
      <w:bookmarkStart w:id="30" w:name="_Toc15396603"/>
      <w:bookmarkStart w:id="31" w:name="_Toc18406"/>
      <w:bookmarkStart w:id="32" w:name="_Toc15377205"/>
      <w:r>
        <w:rPr>
          <w:rFonts w:hint="eastAsia" w:ascii="黑体" w:hAnsi="黑体" w:eastAsia="黑体"/>
          <w:color w:val="000000"/>
          <w:sz w:val="32"/>
          <w:szCs w:val="32"/>
        </w:rPr>
        <w:t>收</w:t>
      </w:r>
      <w:r>
        <w:rPr>
          <w:rStyle w:val="30"/>
          <w:rFonts w:hint="eastAsia" w:ascii="黑体" w:hAnsi="黑体" w:eastAsia="黑体"/>
          <w:b w:val="0"/>
        </w:rPr>
        <w:t>入支出决算总体情况说明</w:t>
      </w:r>
      <w:bookmarkEnd w:id="30"/>
      <w:bookmarkEnd w:id="31"/>
      <w:bookmarkEnd w:id="32"/>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2020年度收入总计503.73万元、支出总计783.66万元。与2019年相比，收入总计减少329.41万元，减少39.54%，支出总计增加444.87万元，增长131.31%。主要变动原</w:t>
      </w:r>
      <w:r>
        <w:rPr>
          <w:rFonts w:hint="eastAsia" w:ascii="仿宋_GB2312" w:hAnsi="仿宋_GB2312" w:eastAsia="仿宋_GB2312" w:cs="仿宋_GB2312"/>
          <w:sz w:val="32"/>
          <w:szCs w:val="32"/>
        </w:rPr>
        <w:t>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282575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（图1：收、支决算总计变动情况图）（柱状图）</w:t>
      </w:r>
    </w:p>
    <w:p>
      <w:pPr>
        <w:pStyle w:val="2"/>
        <w:spacing w:before="0" w:after="0" w:line="560" w:lineRule="exact"/>
      </w:pPr>
    </w:p>
    <w:p>
      <w:pPr>
        <w:pStyle w:val="28"/>
        <w:numPr>
          <w:ilvl w:val="0"/>
          <w:numId w:val="4"/>
        </w:numPr>
        <w:spacing w:line="560" w:lineRule="exact"/>
        <w:ind w:left="1361" w:firstLineChars="0"/>
        <w:outlineLvl w:val="1"/>
        <w:rPr>
          <w:rStyle w:val="30"/>
          <w:rFonts w:ascii="黑体" w:hAnsi="黑体" w:eastAsia="黑体"/>
          <w:b w:val="0"/>
        </w:rPr>
      </w:pPr>
      <w:bookmarkStart w:id="33" w:name="_Toc17821"/>
      <w:bookmarkStart w:id="34" w:name="_Toc15377206"/>
      <w:bookmarkStart w:id="35" w:name="_Toc15396604"/>
      <w:r>
        <w:rPr>
          <w:rFonts w:hint="eastAsia" w:ascii="黑体" w:hAnsi="黑体" w:eastAsia="黑体"/>
          <w:color w:val="000000"/>
          <w:sz w:val="32"/>
          <w:szCs w:val="32"/>
        </w:rPr>
        <w:t>收</w:t>
      </w:r>
      <w:r>
        <w:rPr>
          <w:rStyle w:val="30"/>
          <w:rFonts w:hint="eastAsia" w:ascii="黑体" w:hAnsi="黑体" w:eastAsia="黑体"/>
          <w:b w:val="0"/>
        </w:rPr>
        <w:t>入决算情况说明</w:t>
      </w:r>
      <w:bookmarkEnd w:id="33"/>
      <w:bookmarkEnd w:id="34"/>
      <w:bookmarkEnd w:id="35"/>
    </w:p>
    <w:p>
      <w:pPr>
        <w:spacing w:line="560" w:lineRule="exact"/>
        <w:ind w:firstLine="640" w:firstLineChars="200"/>
        <w:rPr>
          <w:rFonts w:ascii="仿宋" w:hAnsi="仿宋" w:eastAsia="仿宋"/>
          <w:color w:val="000000"/>
          <w:sz w:val="32"/>
          <w:szCs w:val="32"/>
        </w:rPr>
      </w:pPr>
      <w:bookmarkStart w:id="36" w:name="_Toc19018"/>
      <w:r>
        <w:rPr>
          <w:rFonts w:hint="eastAsia" w:ascii="仿宋_GB2312" w:hAnsi="仿宋_GB2312" w:eastAsia="仿宋_GB2312" w:cs="仿宋_GB2312"/>
          <w:color w:val="000000"/>
          <w:sz w:val="32"/>
          <w:szCs w:val="32"/>
        </w:rPr>
        <w:t>2020年本年收入合计503.73万元，其中：一般公共预算财政拨款收入410.20万元，占81.43%；政府性基金预算财政拨款收入93.53万元，占18.57%；</w:t>
      </w:r>
      <w:r>
        <w:rPr>
          <w:rFonts w:hint="eastAsia" w:ascii="仿宋_GB2312" w:hAnsi="仿宋_GB2312" w:eastAsia="仿宋_GB2312" w:cs="仿宋_GB2312"/>
          <w:color w:val="000000" w:themeColor="text1"/>
          <w:sz w:val="32"/>
          <w:szCs w:val="32"/>
        </w:rPr>
        <w:t>上级补助收入0</w:t>
      </w:r>
      <w:r>
        <w:rPr>
          <w:rFonts w:hint="eastAsia" w:ascii="仿宋_GB2312" w:hAnsi="仿宋_GB2312" w:eastAsia="仿宋_GB2312" w:cs="仿宋_GB2312"/>
          <w:color w:val="000000"/>
          <w:sz w:val="32"/>
          <w:szCs w:val="32"/>
        </w:rPr>
        <w:t>万元，占0%；事业收入0万元，占0%；经营收入0万元，占0%；附属单位上缴收入0万元，占0%；其他收入0万元，占0%。</w:t>
      </w:r>
      <w:bookmarkEnd w:id="3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8"/>
        <w:numPr>
          <w:ilvl w:val="0"/>
          <w:numId w:val="4"/>
        </w:numPr>
        <w:spacing w:line="560" w:lineRule="exact"/>
        <w:ind w:left="1361" w:firstLineChars="0"/>
        <w:outlineLvl w:val="1"/>
        <w:rPr>
          <w:rStyle w:val="30"/>
          <w:rFonts w:ascii="黑体" w:hAnsi="黑体" w:eastAsia="黑体"/>
          <w:b w:val="0"/>
        </w:rPr>
      </w:pPr>
      <w:bookmarkStart w:id="37" w:name="_Toc15396605"/>
      <w:bookmarkStart w:id="38" w:name="_Toc18465"/>
      <w:bookmarkStart w:id="39" w:name="_Toc15377207"/>
      <w:r>
        <w:rPr>
          <w:rFonts w:hint="eastAsia" w:ascii="黑体" w:hAnsi="黑体" w:eastAsia="黑体"/>
          <w:color w:val="000000"/>
          <w:sz w:val="32"/>
          <w:szCs w:val="32"/>
        </w:rPr>
        <w:t>支</w:t>
      </w:r>
      <w:r>
        <w:rPr>
          <w:rStyle w:val="30"/>
          <w:rFonts w:hint="eastAsia" w:ascii="黑体" w:hAnsi="黑体" w:eastAsia="黑体"/>
          <w:b w:val="0"/>
        </w:rPr>
        <w:t>出决算情况说明</w:t>
      </w:r>
      <w:bookmarkEnd w:id="37"/>
      <w:bookmarkEnd w:id="38"/>
      <w:bookmarkEnd w:id="39"/>
    </w:p>
    <w:p>
      <w:pPr>
        <w:spacing w:line="560" w:lineRule="exact"/>
        <w:ind w:firstLine="640" w:firstLineChars="200"/>
        <w:rPr>
          <w:rFonts w:ascii="仿宋_GB2312" w:hAnsi="仿宋_GB2312" w:eastAsia="仿宋_GB2312" w:cs="仿宋_GB2312"/>
          <w:color w:val="000000"/>
          <w:sz w:val="32"/>
          <w:szCs w:val="32"/>
        </w:rPr>
      </w:pPr>
      <w:bookmarkStart w:id="40" w:name="_Toc19921"/>
      <w:r>
        <w:rPr>
          <w:rFonts w:hint="eastAsia" w:ascii="仿宋_GB2312" w:hAnsi="仿宋_GB2312" w:eastAsia="仿宋_GB2312" w:cs="仿宋_GB2312"/>
          <w:color w:val="000000"/>
          <w:sz w:val="32"/>
          <w:szCs w:val="32"/>
        </w:rPr>
        <w:t>2020年本年支出合计783.66万元，其中：基本支出82.51万元，占10.53%；项目支出701.15万元，占89.47%；上缴上级支出0万元，占0%；经营支出0万元，占0%；对附属单位补助支出0万元，占0%。</w:t>
      </w:r>
      <w:bookmarkEnd w:id="40"/>
    </w:p>
    <w:p>
      <w:pPr>
        <w:spacing w:line="56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607060</wp:posOffset>
            </wp:positionH>
            <wp:positionV relativeFrom="paragraph">
              <wp:posOffset>87630</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themeColor="text1"/>
          <w:sz w:val="32"/>
          <w:szCs w:val="32"/>
        </w:rPr>
      </w:pP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30"/>
          <w:rFonts w:ascii="黑体" w:hAnsi="黑体" w:eastAsia="黑体"/>
          <w:b w:val="0"/>
        </w:rPr>
      </w:pPr>
      <w:bookmarkStart w:id="41" w:name="_Toc15396606"/>
      <w:bookmarkStart w:id="42" w:name="_Toc28747"/>
      <w:bookmarkStart w:id="43" w:name="_Toc15377208"/>
      <w:r>
        <w:rPr>
          <w:rFonts w:hint="eastAsia" w:ascii="黑体" w:hAnsi="黑体" w:eastAsia="黑体"/>
          <w:color w:val="000000"/>
          <w:sz w:val="32"/>
          <w:szCs w:val="32"/>
        </w:rPr>
        <w:t>四、财</w:t>
      </w:r>
      <w:r>
        <w:rPr>
          <w:rStyle w:val="30"/>
          <w:rFonts w:hint="eastAsia" w:ascii="黑体" w:hAnsi="黑体" w:eastAsia="黑体"/>
          <w:b w:val="0"/>
        </w:rPr>
        <w:t>政拨款收入支出决算总体情况说明</w:t>
      </w:r>
      <w:bookmarkEnd w:id="41"/>
      <w:bookmarkEnd w:id="42"/>
      <w:bookmarkEnd w:id="43"/>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2020年财政拨款收入总计503.73万元、支出总计783.66万元。与2019年相比，收入总计减少</w:t>
      </w:r>
      <w:r>
        <w:rPr>
          <w:rFonts w:hint="eastAsia" w:ascii="仿宋_GB2312" w:hAnsi="仿宋_GB2312" w:eastAsia="仿宋_GB2312" w:cs="仿宋_GB2312"/>
          <w:sz w:val="32"/>
          <w:szCs w:val="32"/>
        </w:rPr>
        <w:t>329.41</w:t>
      </w:r>
      <w:r>
        <w:rPr>
          <w:rFonts w:hint="eastAsia" w:ascii="仿宋_GB2312" w:hAnsi="仿宋_GB2312" w:eastAsia="仿宋_GB2312" w:cs="仿宋_GB2312"/>
          <w:color w:val="000000"/>
          <w:sz w:val="32"/>
          <w:szCs w:val="32"/>
        </w:rPr>
        <w:t>万元，减少39.54%，支出</w:t>
      </w:r>
      <w:r>
        <w:rPr>
          <w:rFonts w:hint="eastAsia" w:ascii="仿宋_GB2312" w:hAnsi="仿宋_GB2312" w:eastAsia="仿宋_GB2312" w:cs="仿宋_GB2312"/>
          <w:sz w:val="32"/>
          <w:szCs w:val="32"/>
        </w:rPr>
        <w:t>总计增加444.87万元，增长131.31%。主要变动原因是</w:t>
      </w:r>
      <w:r>
        <w:rPr>
          <w:rFonts w:hint="eastAsia" w:ascii="仿宋_GB2312" w:hAnsi="仿宋_GB2312" w:eastAsia="仿宋_GB2312" w:cs="仿宋_GB2312"/>
          <w:color w:val="000000"/>
          <w:sz w:val="32"/>
          <w:szCs w:val="32"/>
        </w:rPr>
        <w:t>2020年我单位</w:t>
      </w:r>
      <w:r>
        <w:rPr>
          <w:rFonts w:hint="eastAsia" w:ascii="仿宋_GB2312" w:hAnsi="仿宋_GB2312" w:eastAsia="仿宋_GB2312" w:cs="仿宋_GB2312"/>
          <w:sz w:val="32"/>
          <w:szCs w:val="32"/>
        </w:rPr>
        <w:t>基本建设、洪灾、规划支出增加，林业专项支出减少</w:t>
      </w:r>
      <w:r>
        <w:rPr>
          <w:rFonts w:hint="eastAsia" w:ascii="仿宋_GB2312" w:hAnsi="仿宋_GB2312" w:eastAsia="仿宋_GB2312" w:cs="仿宋_GB2312"/>
          <w:color w:val="000000"/>
          <w:sz w:val="32"/>
          <w:szCs w:val="32"/>
        </w:rPr>
        <w:t>。</w:t>
      </w:r>
    </w:p>
    <w:p>
      <w:pPr>
        <w:spacing w:line="600" w:lineRule="exact"/>
        <w:rPr>
          <w:rFonts w:ascii="仿宋" w:hAnsi="仿宋" w:eastAsia="仿宋"/>
          <w:color w:val="000000"/>
          <w:sz w:val="32"/>
          <w:szCs w:val="32"/>
        </w:rPr>
      </w:pPr>
    </w:p>
    <w:p>
      <w:pPr>
        <w:pStyle w:val="6"/>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pStyle w:val="2"/>
      </w:pPr>
      <w:r>
        <w:rPr>
          <w:rFonts w:hint="eastAsia" w:ascii="仿宋" w:hAnsi="仿宋" w:eastAsia="仿宋"/>
          <w:color w:val="000000"/>
        </w:rPr>
        <w:drawing>
          <wp:anchor distT="0" distB="0" distL="114300" distR="114300" simplePos="0" relativeHeight="251661312" behindDoc="0" locked="0" layoutInCell="1" allowOverlap="1">
            <wp:simplePos x="0" y="0"/>
            <wp:positionH relativeFrom="column">
              <wp:posOffset>487045</wp:posOffset>
            </wp:positionH>
            <wp:positionV relativeFrom="paragraph">
              <wp:posOffset>-347980</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560" w:lineRule="exact"/>
        <w:ind w:firstLine="640"/>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560" w:lineRule="exact"/>
        <w:ind w:firstLine="640"/>
        <w:rPr>
          <w:rFonts w:ascii="仿宋" w:hAnsi="仿宋" w:eastAsia="仿宋"/>
          <w:b/>
          <w:color w:val="00B050"/>
          <w:sz w:val="32"/>
          <w:szCs w:val="32"/>
        </w:rPr>
      </w:pPr>
    </w:p>
    <w:p>
      <w:pPr>
        <w:spacing w:line="560" w:lineRule="exact"/>
        <w:ind w:firstLine="640" w:firstLineChars="200"/>
        <w:outlineLvl w:val="1"/>
        <w:rPr>
          <w:rStyle w:val="30"/>
          <w:rFonts w:ascii="黑体" w:hAnsi="黑体" w:eastAsia="黑体"/>
          <w:b w:val="0"/>
        </w:rPr>
      </w:pPr>
      <w:bookmarkStart w:id="44" w:name="_Toc16540"/>
      <w:bookmarkStart w:id="45" w:name="_Toc15377209"/>
      <w:bookmarkStart w:id="4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0"/>
          <w:rFonts w:hint="eastAsia" w:ascii="黑体" w:hAnsi="黑体" w:eastAsia="黑体"/>
          <w:b w:val="0"/>
        </w:rPr>
        <w:t>般公共预算财政拨款支出决算情况说明</w:t>
      </w:r>
      <w:bookmarkEnd w:id="44"/>
      <w:bookmarkEnd w:id="45"/>
      <w:bookmarkEnd w:id="46"/>
    </w:p>
    <w:p>
      <w:pPr>
        <w:spacing w:line="560" w:lineRule="exact"/>
        <w:ind w:firstLine="643" w:firstLineChars="200"/>
        <w:rPr>
          <w:rFonts w:ascii="楷体_GB2312" w:hAnsi="楷体_GB2312" w:eastAsia="楷体_GB2312" w:cs="楷体_GB2312"/>
          <w:b/>
          <w:color w:val="000000"/>
          <w:sz w:val="32"/>
          <w:szCs w:val="32"/>
        </w:rPr>
      </w:pPr>
      <w:bookmarkStart w:id="47" w:name="_Toc15377210"/>
      <w:r>
        <w:rPr>
          <w:rFonts w:hint="eastAsia" w:ascii="楷体_GB2312" w:hAnsi="楷体_GB2312" w:eastAsia="楷体_GB2312" w:cs="楷体_GB2312"/>
          <w:b/>
          <w:color w:val="000000"/>
          <w:sz w:val="32"/>
          <w:szCs w:val="32"/>
        </w:rPr>
        <w:t>（一）一般公共预算财政拨款支出决算总体情况</w:t>
      </w:r>
      <w:bookmarkEnd w:id="47"/>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421640</wp:posOffset>
            </wp:positionH>
            <wp:positionV relativeFrom="paragraph">
              <wp:posOffset>1443355</wp:posOffset>
            </wp:positionV>
            <wp:extent cx="3957320" cy="2945130"/>
            <wp:effectExtent l="4445" t="5080" r="19685" b="5969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000000"/>
          <w:sz w:val="32"/>
          <w:szCs w:val="32"/>
        </w:rPr>
        <w:t>2020年一般公共预算财政拨款支出690.13万元，占本年支出合计的88.06%。与2019年相</w:t>
      </w:r>
      <w:r>
        <w:rPr>
          <w:rFonts w:hint="eastAsia" w:ascii="仿宋_GB2312" w:hAnsi="仿宋_GB2312" w:eastAsia="仿宋_GB2312" w:cs="仿宋_GB2312"/>
          <w:sz w:val="32"/>
          <w:szCs w:val="32"/>
        </w:rPr>
        <w:t>比，一般公共预算财政拨款增长451.48万元，增长189.18%。主要变动原因是2020年我单位林业专项支出减少，洪灾、规划</w:t>
      </w:r>
      <w:r>
        <w:rPr>
          <w:rFonts w:hint="eastAsia" w:ascii="仿宋_GB2312" w:hAnsi="仿宋_GB2312" w:eastAsia="仿宋_GB2312" w:cs="仿宋_GB2312"/>
          <w:color w:val="000000"/>
          <w:sz w:val="32"/>
          <w:szCs w:val="32"/>
        </w:rPr>
        <w:t>支出增加。</w:t>
      </w:r>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560" w:lineRule="exact"/>
        <w:ind w:firstLine="640" w:firstLineChars="200"/>
        <w:rPr>
          <w:rFonts w:ascii="仿宋" w:hAnsi="仿宋" w:eastAsia="仿宋"/>
          <w:color w:val="000000" w:themeColor="text1"/>
          <w:sz w:val="32"/>
          <w:szCs w:val="32"/>
        </w:rPr>
      </w:pPr>
    </w:p>
    <w:p>
      <w:pPr>
        <w:spacing w:line="560" w:lineRule="exact"/>
        <w:ind w:firstLine="643" w:firstLineChars="200"/>
        <w:rPr>
          <w:rFonts w:ascii="楷体_GB2312" w:hAnsi="楷体_GB2312" w:eastAsia="楷体_GB2312" w:cs="楷体_GB2312"/>
          <w:b/>
          <w:color w:val="000000"/>
          <w:sz w:val="32"/>
          <w:szCs w:val="32"/>
        </w:rPr>
      </w:pPr>
      <w:bookmarkStart w:id="48" w:name="_Toc15377211"/>
      <w:r>
        <w:rPr>
          <w:rFonts w:hint="eastAsia" w:ascii="楷体_GB2312" w:hAnsi="楷体_GB2312" w:eastAsia="楷体_GB2312" w:cs="楷体_GB2312"/>
          <w:b/>
          <w:color w:val="000000"/>
          <w:sz w:val="32"/>
          <w:szCs w:val="32"/>
        </w:rPr>
        <w:t>（二）一般公共预算财政拨款支出决算结构情况</w:t>
      </w:r>
      <w:bookmarkEnd w:id="48"/>
    </w:p>
    <w:p>
      <w:pPr>
        <w:spacing w:line="56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sz w:val="32"/>
          <w:szCs w:val="32"/>
        </w:rPr>
        <w:t>690.13</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农林水支出（213）</w:t>
      </w:r>
      <w:r>
        <w:rPr>
          <w:rFonts w:hint="eastAsia" w:ascii="仿宋_GB2312" w:hAnsi="仿宋_GB2312" w:eastAsia="仿宋_GB2312" w:cs="仿宋_GB2312"/>
          <w:color w:val="000000" w:themeColor="text1"/>
          <w:sz w:val="32"/>
          <w:szCs w:val="32"/>
        </w:rPr>
        <w:t>373.08万元，占54.06%；</w:t>
      </w:r>
      <w:r>
        <w:rPr>
          <w:rFonts w:hint="eastAsia" w:ascii="仿宋_GB2312" w:hAnsi="仿宋_GB2312" w:eastAsia="仿宋_GB2312" w:cs="仿宋_GB2312"/>
          <w:b/>
          <w:bCs/>
          <w:color w:val="000000" w:themeColor="text1"/>
          <w:sz w:val="32"/>
          <w:szCs w:val="32"/>
        </w:rPr>
        <w:t>自然资源海洋气象支出（220）</w:t>
      </w:r>
      <w:r>
        <w:rPr>
          <w:rFonts w:hint="eastAsia" w:ascii="仿宋_GB2312" w:hAnsi="仿宋_GB2312" w:eastAsia="仿宋_GB2312" w:cs="仿宋_GB2312"/>
          <w:color w:val="000000" w:themeColor="text1"/>
          <w:sz w:val="32"/>
          <w:szCs w:val="32"/>
        </w:rPr>
        <w:t>315.44万元，占45.71%；</w:t>
      </w:r>
      <w:r>
        <w:rPr>
          <w:rFonts w:hint="eastAsia" w:ascii="仿宋_GB2312" w:hAnsi="仿宋_GB2312" w:eastAsia="仿宋_GB2312" w:cs="仿宋_GB2312"/>
          <w:b/>
          <w:bCs/>
          <w:color w:val="000000" w:themeColor="text1"/>
          <w:sz w:val="32"/>
          <w:szCs w:val="32"/>
        </w:rPr>
        <w:t>灾害防治及</w:t>
      </w:r>
      <w:r>
        <w:rPr>
          <w:rFonts w:hint="eastAsia" w:ascii="仿宋_GB2312" w:hAnsi="仿宋_GB2312" w:eastAsia="仿宋_GB2312" w:cs="仿宋_GB2312"/>
          <w:b/>
          <w:color w:val="000000" w:themeColor="text1"/>
          <w:sz w:val="32"/>
          <w:szCs w:val="32"/>
        </w:rPr>
        <w:t>应急管理支出（224）</w:t>
      </w:r>
      <w:r>
        <w:rPr>
          <w:rFonts w:hint="eastAsia" w:ascii="仿宋_GB2312" w:hAnsi="仿宋_GB2312" w:eastAsia="仿宋_GB2312" w:cs="仿宋_GB2312"/>
          <w:color w:val="000000" w:themeColor="text1"/>
          <w:sz w:val="32"/>
          <w:szCs w:val="32"/>
        </w:rPr>
        <w:t>1.61万元，占0.23%。</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361315</wp:posOffset>
            </wp:positionH>
            <wp:positionV relativeFrom="paragraph">
              <wp:posOffset>147320</wp:posOffset>
            </wp:positionV>
            <wp:extent cx="4114165" cy="3216275"/>
            <wp:effectExtent l="4445" t="5080" r="15240" b="1714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rPr>
          <w:rFonts w:ascii="楷体_GB2312" w:hAnsi="楷体_GB2312" w:eastAsia="楷体_GB2312" w:cs="楷体_GB2312"/>
          <w:b/>
          <w:color w:val="000000"/>
          <w:sz w:val="32"/>
          <w:szCs w:val="32"/>
        </w:rPr>
      </w:pPr>
      <w:bookmarkStart w:id="49" w:name="_Toc15377212"/>
      <w:r>
        <w:rPr>
          <w:rFonts w:hint="eastAsia" w:ascii="楷体_GB2312" w:hAnsi="楷体_GB2312" w:eastAsia="楷体_GB2312" w:cs="楷体_GB2312"/>
          <w:b/>
          <w:color w:val="000000"/>
          <w:sz w:val="32"/>
          <w:szCs w:val="32"/>
        </w:rPr>
        <w:t>（三）一般公共预算财政拨款支出决算具体情况</w:t>
      </w:r>
      <w:bookmarkEnd w:id="49"/>
    </w:p>
    <w:p>
      <w:pPr>
        <w:spacing w:line="560" w:lineRule="exact"/>
        <w:ind w:firstLine="643" w:firstLineChars="200"/>
        <w:rPr>
          <w:rFonts w:ascii="仿宋_GB2312" w:hAnsi="仿宋_GB2312" w:eastAsia="仿宋_GB2312" w:cs="仿宋_GB2312"/>
          <w:sz w:val="32"/>
          <w:szCs w:val="32"/>
        </w:rPr>
      </w:pPr>
      <w:bookmarkStart w:id="50" w:name="_Toc15377213"/>
      <w:bookmarkStart w:id="51" w:name="_Toc15378460"/>
      <w:bookmarkStart w:id="52" w:name="_Toc15377444"/>
      <w:r>
        <w:rPr>
          <w:rFonts w:hint="eastAsia" w:ascii="仿宋_GB2312" w:hAnsi="仿宋_GB2312" w:eastAsia="仿宋_GB2312" w:cs="仿宋_GB2312"/>
          <w:b/>
          <w:color w:val="000000" w:themeColor="text1"/>
          <w:sz w:val="32"/>
          <w:szCs w:val="32"/>
        </w:rPr>
        <w:t>2020年一般公共预算支出决算数为</w:t>
      </w:r>
      <w:r>
        <w:rPr>
          <w:rFonts w:hint="eastAsia" w:ascii="仿宋_GB2312" w:hAnsi="仿宋_GB2312" w:eastAsia="仿宋_GB2312" w:cs="仿宋_GB2312"/>
          <w:b/>
          <w:color w:val="000000"/>
          <w:sz w:val="32"/>
          <w:szCs w:val="32"/>
        </w:rPr>
        <w:t>690.13万元</w:t>
      </w:r>
      <w:r>
        <w:rPr>
          <w:rFonts w:hint="eastAsia" w:ascii="仿宋_GB2312" w:hAnsi="仿宋_GB2312" w:eastAsia="仿宋_GB2312" w:cs="仿宋_GB2312"/>
          <w:b/>
          <w:color w:val="000000" w:themeColor="text1"/>
          <w:sz w:val="32"/>
          <w:szCs w:val="32"/>
        </w:rPr>
        <w:t>，</w:t>
      </w:r>
      <w:r>
        <w:rPr>
          <w:rStyle w:val="17"/>
          <w:rFonts w:hint="eastAsia" w:ascii="仿宋_GB2312" w:hAnsi="仿宋_GB2312" w:eastAsia="仿宋_GB2312" w:cs="仿宋_GB2312"/>
          <w:color w:val="000000" w:themeColor="text1"/>
          <w:sz w:val="32"/>
          <w:szCs w:val="32"/>
        </w:rPr>
        <w:t>完</w:t>
      </w:r>
      <w:r>
        <w:rPr>
          <w:rStyle w:val="17"/>
          <w:rFonts w:hint="eastAsia" w:ascii="仿宋_GB2312" w:hAnsi="仿宋_GB2312" w:eastAsia="仿宋_GB2312" w:cs="仿宋_GB2312"/>
          <w:bCs/>
          <w:color w:val="000000" w:themeColor="text1"/>
          <w:sz w:val="32"/>
          <w:szCs w:val="32"/>
        </w:rPr>
        <w:t>成</w:t>
      </w:r>
      <w:r>
        <w:rPr>
          <w:rStyle w:val="17"/>
          <w:rFonts w:hint="eastAsia" w:ascii="仿宋_GB2312" w:hAnsi="仿宋_GB2312" w:eastAsia="仿宋_GB2312" w:cs="仿宋_GB2312"/>
          <w:bCs/>
          <w:color w:val="000000"/>
          <w:sz w:val="32"/>
          <w:szCs w:val="32"/>
        </w:rPr>
        <w:t>预算100%。其中：</w:t>
      </w:r>
      <w:bookmarkEnd w:id="50"/>
      <w:bookmarkEnd w:id="51"/>
      <w:bookmarkEnd w:id="52"/>
    </w:p>
    <w:p>
      <w:pPr>
        <w:spacing w:line="560" w:lineRule="exact"/>
        <w:ind w:firstLine="643" w:firstLineChars="200"/>
        <w:rPr>
          <w:rStyle w:val="17"/>
          <w:rFonts w:ascii="仿宋_GB2312" w:hAnsi="仿宋_GB2312" w:eastAsia="仿宋_GB2312" w:cs="仿宋_GB2312"/>
          <w:b w:val="0"/>
          <w:bCs/>
          <w:color w:val="000000"/>
          <w:sz w:val="32"/>
          <w:szCs w:val="32"/>
        </w:rPr>
      </w:pPr>
      <w:bookmarkStart w:id="53" w:name="_Toc15377214"/>
      <w:bookmarkStart w:id="54" w:name="_Toc11625"/>
      <w:bookmarkStart w:id="55" w:name="_Toc15396608"/>
      <w:r>
        <w:rPr>
          <w:rFonts w:hint="eastAsia" w:ascii="仿宋_GB2312" w:hAnsi="仿宋_GB2312" w:eastAsia="仿宋_GB2312" w:cs="仿宋_GB2312"/>
          <w:b/>
          <w:color w:val="000000" w:themeColor="text1"/>
          <w:sz w:val="32"/>
          <w:szCs w:val="32"/>
        </w:rPr>
        <w:t>1.农林水支出（213）林业和草原（02）森林资源培育（05）</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111.09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color w:val="000000" w:themeColor="text1"/>
          <w:sz w:val="32"/>
          <w:szCs w:val="32"/>
        </w:rPr>
        <w:t>2.农林水支出（213）林业和草原（02）其他林业和草原支出（99）</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w:t>
      </w:r>
      <w:r>
        <w:rPr>
          <w:rFonts w:hint="eastAsia" w:ascii="仿宋_GB2312" w:hAnsi="仿宋_GB2312" w:eastAsia="仿宋_GB2312" w:cs="仿宋_GB2312"/>
          <w:color w:val="000000" w:themeColor="text1"/>
          <w:sz w:val="32"/>
          <w:szCs w:val="32"/>
        </w:rPr>
        <w:t>261.99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p>
    <w:p>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3.自然资源海洋气象等支出（220）自然资源事务（01）行政运行（01）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支出决算为82.51万元，完成预算100%，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4.自然资源海洋气象等支出（220）自然资源事务（01）一般行政管理事务（02）：</w:t>
      </w:r>
      <w:r>
        <w:rPr>
          <w:rStyle w:val="17"/>
          <w:rFonts w:hint="eastAsia" w:ascii="仿宋_GB2312" w:hAnsi="仿宋_GB2312" w:eastAsia="仿宋_GB2312" w:cs="仿宋_GB2312"/>
          <w:b w:val="0"/>
          <w:bCs/>
          <w:color w:val="000000"/>
          <w:sz w:val="32"/>
          <w:szCs w:val="32"/>
        </w:rPr>
        <w:t>支出决算为111.73万元，完成预算100%，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5.自然资源海洋气象等支出（220）自然资源事务（01）自然资源规划及管理（04）：</w:t>
      </w:r>
      <w:r>
        <w:rPr>
          <w:rStyle w:val="17"/>
          <w:rFonts w:hint="eastAsia" w:ascii="仿宋_GB2312" w:hAnsi="仿宋_GB2312" w:eastAsia="仿宋_GB2312" w:cs="仿宋_GB2312"/>
          <w:b w:val="0"/>
          <w:bCs/>
          <w:color w:val="000000"/>
          <w:sz w:val="32"/>
          <w:szCs w:val="32"/>
        </w:rPr>
        <w:t>支出决算为121.20万元，完成预算100%，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Style w:val="17"/>
          <w:rFonts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themeColor="text1"/>
          <w:sz w:val="32"/>
          <w:szCs w:val="32"/>
        </w:rPr>
        <w:t>6.灾害防治及</w:t>
      </w:r>
      <w:r>
        <w:rPr>
          <w:rFonts w:hint="eastAsia" w:ascii="仿宋_GB2312" w:hAnsi="仿宋_GB2312" w:eastAsia="仿宋_GB2312" w:cs="仿宋_GB2312"/>
          <w:b/>
          <w:color w:val="000000" w:themeColor="text1"/>
          <w:sz w:val="32"/>
          <w:szCs w:val="32"/>
        </w:rPr>
        <w:t>应急管理支出（224）自然灾害防治（06）地质灾害防治（01）</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82</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rPr>
        <w:t>7.灾害防治及</w:t>
      </w:r>
      <w:r>
        <w:rPr>
          <w:rFonts w:hint="eastAsia" w:ascii="仿宋_GB2312" w:hAnsi="仿宋_GB2312" w:eastAsia="仿宋_GB2312" w:cs="仿宋_GB2312"/>
          <w:b/>
          <w:color w:val="000000" w:themeColor="text1"/>
          <w:sz w:val="32"/>
          <w:szCs w:val="32"/>
        </w:rPr>
        <w:t>应急管理支出（224）其他灾害防治及应急管理支出（99）其他灾害防治及应急管理支出（00）</w:t>
      </w:r>
      <w:r>
        <w:rPr>
          <w:rStyle w:val="17"/>
          <w:rFonts w:hint="eastAsia" w:ascii="仿宋_GB2312" w:hAnsi="仿宋_GB2312" w:eastAsia="仿宋_GB2312" w:cs="仿宋_GB2312"/>
          <w:bCs/>
          <w:color w:val="000000"/>
          <w:sz w:val="32"/>
          <w:szCs w:val="32"/>
        </w:rPr>
        <w:t>:</w:t>
      </w:r>
      <w:r>
        <w:rPr>
          <w:rStyle w:val="17"/>
          <w:rFonts w:hint="eastAsia" w:ascii="仿宋_GB2312" w:hAnsi="仿宋_GB2312" w:eastAsia="仿宋_GB2312" w:cs="仿宋_GB2312"/>
          <w:b w:val="0"/>
          <w:bCs/>
          <w:color w:val="000000"/>
          <w:sz w:val="32"/>
          <w:szCs w:val="32"/>
        </w:rPr>
        <w:t>支出决算为0.</w:t>
      </w:r>
      <w:r>
        <w:rPr>
          <w:rFonts w:hint="eastAsia" w:ascii="仿宋_GB2312" w:hAnsi="仿宋_GB2312" w:eastAsia="仿宋_GB2312" w:cs="仿宋_GB2312"/>
          <w:color w:val="000000" w:themeColor="text1"/>
          <w:sz w:val="32"/>
          <w:szCs w:val="32"/>
        </w:rPr>
        <w:t>79</w:t>
      </w:r>
      <w:r>
        <w:rPr>
          <w:rStyle w:val="17"/>
          <w:rFonts w:hint="eastAsia" w:ascii="仿宋_GB2312" w:hAnsi="仿宋_GB2312" w:eastAsia="仿宋_GB2312" w:cs="仿宋_GB2312"/>
          <w:b w:val="0"/>
          <w:bCs/>
          <w:color w:val="000000"/>
          <w:sz w:val="32"/>
          <w:szCs w:val="32"/>
        </w:rPr>
        <w:t>万元，完成预算100%，</w:t>
      </w:r>
      <w:r>
        <w:rPr>
          <w:rStyle w:val="19"/>
          <w:rFonts w:hint="eastAsia" w:ascii="仿宋" w:hAnsi="仿宋" w:eastAsia="仿宋"/>
          <w:i w:val="0"/>
          <w:iCs w:val="0"/>
          <w:color w:val="000000"/>
          <w:sz w:val="32"/>
          <w:szCs w:val="32"/>
          <w:shd w:val="clear" w:color="auto" w:fill="FFFFFF"/>
        </w:rPr>
        <w:t>决算数等于预算数的主要原因是按预算执行</w:t>
      </w:r>
      <w:r>
        <w:rPr>
          <w:rStyle w:val="17"/>
          <w:rFonts w:hint="eastAsia" w:ascii="仿宋_GB2312" w:hAnsi="仿宋_GB2312" w:eastAsia="仿宋_GB2312" w:cs="仿宋_GB2312"/>
          <w:b w:val="0"/>
          <w:bCs/>
          <w:color w:val="000000"/>
          <w:sz w:val="32"/>
          <w:szCs w:val="32"/>
        </w:rPr>
        <w:t>。</w:t>
      </w:r>
    </w:p>
    <w:p>
      <w:pPr>
        <w:tabs>
          <w:tab w:val="right" w:pos="8306"/>
        </w:tabs>
        <w:spacing w:line="600" w:lineRule="exact"/>
        <w:ind w:firstLine="641"/>
        <w:outlineLvl w:val="1"/>
        <w:rPr>
          <w:rStyle w:val="30"/>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0"/>
          <w:rFonts w:hint="eastAsia" w:ascii="黑体" w:hAnsi="黑体" w:eastAsia="黑体"/>
          <w:b w:val="0"/>
        </w:rPr>
        <w:t>般公共预算财政拨款基本支出决算情况说明</w:t>
      </w:r>
      <w:bookmarkEnd w:id="53"/>
      <w:bookmarkEnd w:id="54"/>
      <w:bookmarkEnd w:id="55"/>
      <w:r>
        <w:rPr>
          <w:rStyle w:val="30"/>
          <w:rFonts w:ascii="黑体" w:hAnsi="黑体" w:eastAsia="黑体"/>
          <w:b w:val="0"/>
        </w:rPr>
        <w:tab/>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w:t>
      </w:r>
      <w:r>
        <w:rPr>
          <w:rFonts w:hint="eastAsia" w:ascii="仿宋_GB2312" w:hAnsi="仿宋_GB2312" w:eastAsia="仿宋_GB2312" w:cs="仿宋_GB2312"/>
          <w:color w:val="000000"/>
          <w:sz w:val="32"/>
          <w:szCs w:val="32"/>
        </w:rPr>
        <w:t>财政拨款基本支出82.51万元，其中：</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56.23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6"/>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日常公用经费26.28万元，主要包括：办公费、印刷费、咨询费、手续费、水费、电费、邮电费、取暖费、物业管理费、差旅费、因公出国（境）费用、维修</w:t>
      </w:r>
      <w:r>
        <w:rPr>
          <w:rFonts w:hint="eastAsia" w:ascii="仿宋_GB2312" w:hAnsi="仿宋_GB2312" w:eastAsia="仿宋_GB2312" w:cs="仿宋_GB2312"/>
          <w:color w:val="000000"/>
          <w:sz w:val="32"/>
          <w:szCs w:val="32"/>
        </w:rPr>
        <w:t>（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1"/>
        <w:outlineLvl w:val="1"/>
        <w:rPr>
          <w:rStyle w:val="30"/>
          <w:rFonts w:ascii="黑体" w:hAnsi="黑体" w:eastAsia="黑体"/>
          <w:b w:val="0"/>
        </w:rPr>
      </w:pPr>
      <w:bookmarkStart w:id="56" w:name="_Toc25909"/>
      <w:bookmarkStart w:id="57" w:name="_Toc15377215"/>
      <w:bookmarkStart w:id="58" w:name="_Toc15396609"/>
      <w:r>
        <w:rPr>
          <w:rFonts w:hint="eastAsia" w:ascii="黑体" w:eastAsia="黑体"/>
          <w:color w:val="000000"/>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56"/>
      <w:bookmarkEnd w:id="57"/>
      <w:bookmarkEnd w:id="58"/>
    </w:p>
    <w:p>
      <w:pPr>
        <w:spacing w:line="560" w:lineRule="exact"/>
        <w:ind w:firstLine="641"/>
        <w:rPr>
          <w:rFonts w:ascii="仿宋_GB2312" w:hAnsi="仿宋_GB2312" w:eastAsia="仿宋_GB2312" w:cs="仿宋_GB2312"/>
          <w:b/>
          <w:color w:val="000000"/>
          <w:sz w:val="32"/>
          <w:szCs w:val="32"/>
        </w:rPr>
      </w:pPr>
      <w:bookmarkStart w:id="59" w:name="_Toc15377216"/>
      <w:r>
        <w:rPr>
          <w:rFonts w:hint="eastAsia" w:ascii="楷体_GB2312" w:hAnsi="楷体_GB2312" w:eastAsia="楷体_GB2312" w:cs="楷体_GB2312"/>
          <w:b/>
          <w:color w:val="000000"/>
          <w:sz w:val="32"/>
          <w:szCs w:val="32"/>
        </w:rPr>
        <w:t>（一）“三公”经费财政拨款支出决算总体情况说明</w:t>
      </w:r>
      <w:bookmarkEnd w:id="59"/>
    </w:p>
    <w:p>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2020年“三公”经费财政拨款支出决算为0.16万元，完成预算100%。</w:t>
      </w:r>
    </w:p>
    <w:p>
      <w:pPr>
        <w:spacing w:line="560" w:lineRule="exact"/>
        <w:ind w:firstLine="641"/>
        <w:rPr>
          <w:rFonts w:ascii="楷体_GB2312" w:hAnsi="楷体_GB2312" w:eastAsia="楷体_GB2312" w:cs="楷体_GB2312"/>
          <w:b/>
          <w:color w:val="000000"/>
          <w:sz w:val="32"/>
          <w:szCs w:val="32"/>
        </w:rPr>
      </w:pPr>
      <w:bookmarkStart w:id="60" w:name="_Toc15377217"/>
      <w:r>
        <w:rPr>
          <w:rFonts w:hint="eastAsia" w:ascii="楷体_GB2312" w:hAnsi="楷体_GB2312" w:eastAsia="楷体_GB2312" w:cs="楷体_GB2312"/>
          <w:b/>
          <w:color w:val="000000"/>
          <w:sz w:val="32"/>
          <w:szCs w:val="32"/>
        </w:rPr>
        <w:t>（二）“三公”经费财政拨款支出决算具体情况说明</w:t>
      </w:r>
      <w:bookmarkEnd w:id="60"/>
    </w:p>
    <w:p>
      <w:pPr>
        <w:spacing w:line="56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2020年“三公”经费财政拨款支出决算中，因公出国（境）费支出决算0万元，占0%；公务用车购置及运行维护费支出决算0万元，占0%；公务接待费支出决算0.16万元，占100%。具体情况如下：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401955</wp:posOffset>
            </wp:positionH>
            <wp:positionV relativeFrom="paragraph">
              <wp:posOffset>-909955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全年安排因公出国（境）团组0次，出国（境）0人。与2019年持平。</w:t>
      </w:r>
    </w:p>
    <w:p>
      <w:pPr>
        <w:spacing w:line="560" w:lineRule="exact"/>
        <w:ind w:firstLine="64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与2019年持平。</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0万元。全年按规定更新购置公务用车0辆，金额0元。截至2020年12月底，单位共有公务用车0辆，其中：主要领导干部用车0辆、机要通信用车0辆、应急保障用车0辆、 执法执勤用车0辆。与2019年持平。</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0万元。与2019年持平。</w:t>
      </w:r>
    </w:p>
    <w:p>
      <w:pPr>
        <w:numPr>
          <w:ilvl w:val="0"/>
          <w:numId w:val="5"/>
        </w:num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公务接待费支出</w:t>
      </w:r>
      <w:r>
        <w:rPr>
          <w:rFonts w:hint="eastAsia" w:ascii="仿宋_GB2312" w:hAnsi="仿宋_GB2312" w:eastAsia="仿宋_GB2312" w:cs="仿宋_GB2312"/>
          <w:color w:val="000000"/>
          <w:sz w:val="32"/>
          <w:szCs w:val="32"/>
        </w:rPr>
        <w:t>0.16万元，</w:t>
      </w:r>
      <w:r>
        <w:rPr>
          <w:rStyle w:val="17"/>
          <w:rFonts w:hint="eastAsia" w:ascii="仿宋_GB2312" w:hAnsi="仿宋_GB2312" w:eastAsia="仿宋_GB2312" w:cs="仿宋_GB2312"/>
          <w:b w:val="0"/>
          <w:bCs/>
          <w:color w:val="000000"/>
          <w:sz w:val="32"/>
          <w:szCs w:val="32"/>
        </w:rPr>
        <w:t>完成预算100%。</w:t>
      </w:r>
      <w:r>
        <w:rPr>
          <w:rFonts w:hint="eastAsia" w:ascii="仿宋_GB2312" w:hAnsi="仿宋_GB2312" w:eastAsia="仿宋_GB2312" w:cs="仿宋_GB2312"/>
          <w:color w:val="000000"/>
          <w:sz w:val="32"/>
          <w:szCs w:val="32"/>
        </w:rPr>
        <w:t>公务接待费支出决算比2019年增加0.16万元，增加0%。主要原因是：我单位2020年新增规委会、专</w:t>
      </w:r>
      <w:r>
        <w:rPr>
          <w:rFonts w:hint="eastAsia" w:ascii="仿宋_GB2312" w:hAnsi="仿宋_GB2312" w:eastAsia="仿宋_GB2312" w:cs="仿宋_GB2312"/>
          <w:color w:val="000000"/>
          <w:sz w:val="32"/>
          <w:szCs w:val="32"/>
          <w:lang w:eastAsia="zh-CN"/>
        </w:rPr>
        <w:t>委</w:t>
      </w:r>
      <w:r>
        <w:rPr>
          <w:rFonts w:hint="eastAsia" w:ascii="仿宋_GB2312" w:hAnsi="仿宋_GB2312" w:eastAsia="仿宋_GB2312" w:cs="仿宋_GB2312"/>
          <w:color w:val="000000"/>
          <w:sz w:val="32"/>
          <w:szCs w:val="32"/>
        </w:rPr>
        <w:t>会公务接待。</w:t>
      </w:r>
      <w:bookmarkStart w:id="61" w:name="_Toc15377218"/>
      <w:bookmarkStart w:id="62" w:name="_Toc15396610"/>
    </w:p>
    <w:p>
      <w:pPr>
        <w:pStyle w:val="2"/>
        <w:ind w:firstLine="640" w:firstLineChars="200"/>
        <w:rPr>
          <w:rFonts w:hint="eastAsia" w:ascii="仿宋_GB2312" w:eastAsia="仿宋_GB2312"/>
          <w:b w:val="0"/>
          <w:bCs w:val="0"/>
        </w:rPr>
      </w:pPr>
      <w:r>
        <w:rPr>
          <w:rFonts w:hint="eastAsia" w:ascii="仿宋_GB2312" w:eastAsia="仿宋_GB2312"/>
          <w:b w:val="0"/>
          <w:bCs w:val="0"/>
        </w:rPr>
        <w:t>国内公务接待支出0.16万元，主要用于专家会、规委会接待。国内公务接待4批次，21人次（不包括陪同人员），共计支出0.16万元，具体内容包括： 2019年6次规委会，接待金额500元；西藏城投公司，接待金额500元；2020年1次专委会，接待金额200元；2020年4次专委会，接待金额388元。</w:t>
      </w:r>
    </w:p>
    <w:p>
      <w:pPr>
        <w:pStyle w:val="2"/>
        <w:ind w:firstLine="643" w:firstLineChars="200"/>
        <w:rPr>
          <w:rFonts w:hint="eastAsia" w:ascii="仿宋_GB2312" w:eastAsia="仿宋_GB2312"/>
        </w:rPr>
      </w:pPr>
      <w:r>
        <w:rPr>
          <w:rFonts w:hint="eastAsia" w:ascii="仿宋_GB2312" w:eastAsia="仿宋_GB2312"/>
        </w:rPr>
        <w:t>外事接待支出0万元，外事接待0批次0人，共计支出0万元。</w:t>
      </w:r>
    </w:p>
    <w:p>
      <w:pPr>
        <w:spacing w:line="560" w:lineRule="exact"/>
        <w:ind w:firstLine="641"/>
        <w:outlineLvl w:val="1"/>
        <w:rPr>
          <w:rStyle w:val="30"/>
          <w:rFonts w:ascii="黑体" w:hAnsi="黑体" w:eastAsia="黑体"/>
        </w:rPr>
      </w:pPr>
      <w:bookmarkStart w:id="63" w:name="_Toc15592"/>
      <w:r>
        <w:rPr>
          <w:rFonts w:hint="eastAsia" w:ascii="黑体" w:eastAsia="黑体"/>
          <w:color w:val="000000"/>
          <w:sz w:val="32"/>
          <w:szCs w:val="32"/>
        </w:rPr>
        <w:t>八、</w:t>
      </w:r>
      <w:r>
        <w:rPr>
          <w:rStyle w:val="30"/>
          <w:rFonts w:hint="eastAsia" w:ascii="黑体" w:hAnsi="黑体" w:eastAsia="黑体"/>
          <w:b w:val="0"/>
        </w:rPr>
        <w:t>政府性基金预算支出决算情况说明</w:t>
      </w:r>
      <w:bookmarkEnd w:id="61"/>
      <w:bookmarkEnd w:id="62"/>
      <w:bookmarkEnd w:id="63"/>
    </w:p>
    <w:p>
      <w:pPr>
        <w:spacing w:line="560" w:lineRule="exact"/>
        <w:ind w:firstLine="641"/>
        <w:rPr>
          <w:rFonts w:ascii="仿宋_GB2312" w:eastAsia="仿宋_GB2312"/>
          <w:color w:val="000000"/>
          <w:sz w:val="32"/>
          <w:szCs w:val="32"/>
        </w:rPr>
      </w:pPr>
      <w:r>
        <w:rPr>
          <w:rFonts w:hint="eastAsia" w:ascii="仿宋_GB2312" w:eastAsia="仿宋_GB2312"/>
          <w:color w:val="000000"/>
          <w:sz w:val="32"/>
          <w:szCs w:val="32"/>
        </w:rPr>
        <w:t>2020年政府性基金预算拨款支出93.53万元。</w:t>
      </w:r>
    </w:p>
    <w:p>
      <w:pPr>
        <w:numPr>
          <w:ilvl w:val="0"/>
          <w:numId w:val="6"/>
        </w:numPr>
        <w:spacing w:line="560" w:lineRule="exact"/>
        <w:ind w:firstLine="640"/>
        <w:outlineLvl w:val="1"/>
        <w:rPr>
          <w:rStyle w:val="30"/>
          <w:rFonts w:ascii="黑体" w:hAnsi="黑体" w:eastAsia="黑体"/>
          <w:b w:val="0"/>
        </w:rPr>
      </w:pPr>
      <w:bookmarkStart w:id="64" w:name="_Toc15377219"/>
      <w:bookmarkStart w:id="65" w:name="_Toc15396611"/>
      <w:bookmarkStart w:id="66" w:name="_Toc2937"/>
      <w:r>
        <w:rPr>
          <w:rStyle w:val="30"/>
          <w:rFonts w:hint="eastAsia" w:ascii="黑体" w:hAnsi="黑体" w:eastAsia="黑体"/>
          <w:b w:val="0"/>
        </w:rPr>
        <w:t>国有资本经营预算支出决算情况说明</w:t>
      </w:r>
      <w:bookmarkEnd w:id="64"/>
      <w:bookmarkEnd w:id="65"/>
      <w:bookmarkEnd w:id="66"/>
    </w:p>
    <w:p>
      <w:pPr>
        <w:spacing w:line="560" w:lineRule="exact"/>
        <w:ind w:firstLine="641"/>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2020年国有资本经营预算拨款支出0万元。</w:t>
      </w:r>
    </w:p>
    <w:p>
      <w:pPr>
        <w:spacing w:line="560" w:lineRule="exact"/>
        <w:ind w:firstLine="800" w:firstLineChars="250"/>
        <w:outlineLvl w:val="1"/>
        <w:rPr>
          <w:rStyle w:val="30"/>
          <w:rFonts w:ascii="黑体" w:hAnsi="黑体" w:eastAsia="黑体"/>
        </w:rPr>
      </w:pPr>
      <w:bookmarkStart w:id="67" w:name="_Toc15396612"/>
      <w:bookmarkStart w:id="68" w:name="_Toc26109"/>
      <w:bookmarkStart w:id="69" w:name="_Toc15377221"/>
      <w:r>
        <w:rPr>
          <w:rFonts w:hint="eastAsia" w:ascii="黑体" w:hAnsi="黑体" w:eastAsia="黑体"/>
          <w:color w:val="000000"/>
          <w:sz w:val="32"/>
          <w:szCs w:val="32"/>
        </w:rPr>
        <w:t>十</w:t>
      </w:r>
      <w:r>
        <w:rPr>
          <w:rStyle w:val="30"/>
          <w:rFonts w:hint="eastAsia" w:ascii="黑体" w:hAnsi="黑体" w:eastAsia="黑体"/>
        </w:rPr>
        <w:t>、</w:t>
      </w:r>
      <w:r>
        <w:rPr>
          <w:rStyle w:val="30"/>
          <w:rFonts w:hint="eastAsia" w:ascii="黑体" w:hAnsi="黑体" w:eastAsia="黑体"/>
          <w:b w:val="0"/>
        </w:rPr>
        <w:t>其他重要事项的情况说明</w:t>
      </w:r>
      <w:bookmarkEnd w:id="67"/>
      <w:bookmarkEnd w:id="68"/>
      <w:bookmarkEnd w:id="69"/>
    </w:p>
    <w:p>
      <w:pPr>
        <w:spacing w:line="560" w:lineRule="exact"/>
        <w:ind w:firstLine="643" w:firstLineChars="200"/>
        <w:rPr>
          <w:rFonts w:ascii="楷体_GB2312" w:hAnsi="楷体_GB2312" w:eastAsia="楷体_GB2312" w:cs="楷体_GB2312"/>
          <w:color w:val="000000"/>
          <w:sz w:val="32"/>
          <w:szCs w:val="32"/>
        </w:rPr>
      </w:pPr>
      <w:bookmarkStart w:id="70" w:name="_Toc15377222"/>
      <w:r>
        <w:rPr>
          <w:rFonts w:hint="eastAsia" w:ascii="楷体_GB2312" w:hAnsi="楷体_GB2312" w:eastAsia="楷体_GB2312" w:cs="楷体_GB2312"/>
          <w:b/>
          <w:color w:val="000000"/>
          <w:sz w:val="32"/>
          <w:szCs w:val="32"/>
        </w:rPr>
        <w:t>（一）机关运行经费支出情况</w:t>
      </w:r>
      <w:bookmarkEnd w:id="70"/>
    </w:p>
    <w:p>
      <w:pPr>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2020年，四川省乐山市自然资源局高新区分局机关运行经费支出26.28万元，比</w:t>
      </w:r>
      <w:r>
        <w:rPr>
          <w:rFonts w:ascii="仿宋_GB2312" w:eastAsia="仿宋_GB2312"/>
          <w:color w:val="000000"/>
          <w:sz w:val="32"/>
          <w:szCs w:val="32"/>
        </w:rPr>
        <w:t>20</w:t>
      </w:r>
      <w:r>
        <w:rPr>
          <w:rFonts w:hint="eastAsia" w:ascii="仿宋_GB2312" w:eastAsia="仿宋_GB2312"/>
          <w:color w:val="000000"/>
          <w:sz w:val="32"/>
          <w:szCs w:val="32"/>
        </w:rPr>
        <w:t>19年减少14.53万元，下降35.60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560" w:lineRule="exact"/>
        <w:ind w:firstLine="643" w:firstLineChars="200"/>
        <w:jc w:val="left"/>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四川省乐山市自然资源局高新区分局政府采购支出总额93.40万元，其中：政府采购货物支出0.00万元、政府采购工程支出0.00万元、政府采购服务支出93.40万元。授予中小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，其中：授予小微企业合同金额0.00万元，占政府采购支出总额的0.00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560" w:lineRule="exact"/>
        <w:ind w:firstLine="643" w:firstLineChars="200"/>
        <w:jc w:val="left"/>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pPr>
        <w:autoSpaceDE w:val="0"/>
        <w:autoSpaceDN w:val="0"/>
        <w:adjustRightInd w:val="0"/>
        <w:spacing w:line="56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日，四川省乐山市自然资源局高新区分局共有车辆0辆，其中：主要领导干部用车0辆、机要通信用车0辆、特种专业技术用车0辆、应急保障用车0辆、其他用车0辆、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16个项目开展了预算事前绩效评估，对16个项目编制了绩效目标，预算执行过程中，选取5个项目开展绩效监控，年终执行完毕后，对5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本部门在2020年度部门决算中反映“城乡绿化（四川乐山岷江大渡河森林质量精准提升示范项目）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，“森林防火专项经费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，“长江防护林三期工程项目建设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，“空间规划编制相关费用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，“地质灾害防治专职监测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等5个项目绩效目标实际完成情况。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（1）城乡绿化（四川乐山岷江大渡河森林质量精准提升示范项目）项目绩效目标完成情况综述。项目全年预算数111.09万元，执行数为111.09万元，完成预算的100%。通过项目实施，完成城乡绿化工作。</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（2）森林防火专项经费项目绩效目标完成情况综述。项目全年预算数1.55万元，执行数为1.55万元，完成预算的100%。通过项目实施，完成森林防火工作。</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（3）长江防护林三期工程项目建设项目绩效目标完成情况综述。项目全年预算数150.00万元，执行数为150.00万元，完成预算的100%。通过项目实施，完成长江防护林三期工程项目建设工作。</w:t>
      </w:r>
    </w:p>
    <w:p>
      <w:pPr>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（4）空间规划编制相关费用项目绩效目标完成情况综述。项目全年预算数87.00万元，执行数为87.00万元，完成预算的100%。通过项目实施，完成空间规划编制工作。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质灾害防治专职监测项目绩效目标完成情况综述。项目全年预算数0.82万元，执行数为0.82万元，完成对园区的地质灾害隐患点监测预警，做到如有地质灾害发生时能及时知道并作出应对方案，确保人民群众生命财产安全。</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399"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城乡绿化（四川乐山岷江大渡河森林质量精准提升示范项目）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111.09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111.09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111.09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完成城乡绿化工作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经费1,110,872.30元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城乡绿化工作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完成城乡绿化工作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上级主管部门满意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331"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森林防火专项经费</w:t>
            </w:r>
          </w:p>
        </w:tc>
      </w:tr>
      <w:tr>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完成森林防火工作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经费15,500.00元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完成森林防火工作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完成森林防火工作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34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长江防护林三期工程项目建设</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tblPrEx>
          <w:tblCellMar>
            <w:top w:w="0" w:type="dxa"/>
            <w:left w:w="0" w:type="dxa"/>
            <w:bottom w:w="0" w:type="dxa"/>
            <w:right w:w="0" w:type="dxa"/>
          </w:tblCellMar>
        </w:tblPrEx>
        <w:trPr>
          <w:trHeight w:val="208"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150.00</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150.00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w:t>
            </w:r>
            <w:r>
              <w:rPr>
                <w:rFonts w:hint="eastAsia" w:ascii="宋体" w:hAnsi="宋体" w:cs="宋体"/>
                <w:color w:val="000000"/>
                <w:sz w:val="24"/>
                <w:lang w:eastAsia="zh-CN"/>
              </w:rPr>
              <w:t>成</w:t>
            </w:r>
            <w:r>
              <w:rPr>
                <w:rFonts w:hint="eastAsia" w:ascii="宋体" w:hAnsi="宋体" w:cs="宋体"/>
                <w:color w:val="000000"/>
                <w:sz w:val="24"/>
              </w:rPr>
              <w:t>长江防护林三期工程项目建设1,500,000.00元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完成长江防护林三期工程项目建设1,500,000.00元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长江防护林三期工程项目建设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完成长江防护林三期工程项目建设工作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 年度)</w:t>
            </w:r>
          </w:p>
        </w:tc>
      </w:tr>
      <w:tr>
        <w:tblPrEx>
          <w:tblCellMar>
            <w:top w:w="0" w:type="dxa"/>
            <w:left w:w="0" w:type="dxa"/>
            <w:bottom w:w="0" w:type="dxa"/>
            <w:right w:w="0" w:type="dxa"/>
          </w:tblCellMar>
        </w:tblPrEx>
        <w:trPr>
          <w:trHeight w:val="167"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空间规划编制相关费用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87.00</w:t>
            </w:r>
          </w:p>
        </w:tc>
      </w:tr>
      <w:tr>
        <w:tblPrEx>
          <w:tblCellMar>
            <w:top w:w="0" w:type="dxa"/>
            <w:left w:w="0" w:type="dxa"/>
            <w:bottom w:w="0" w:type="dxa"/>
            <w:right w:w="0" w:type="dxa"/>
          </w:tblCellMar>
        </w:tblPrEx>
        <w:trPr>
          <w:trHeight w:val="33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87.00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sz w:val="24"/>
              </w:rPr>
              <w:t>完成空间规划编制工作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color w:val="000000"/>
                <w:sz w:val="24"/>
              </w:rPr>
              <w:t>完成空间规划编制工作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空间规划编制相关费用870,000.00元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空间规划编制相关费用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完成空间规划编制工作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地质灾害防治专职监测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四川省乐山市自然资源局高新区分局</w:t>
            </w:r>
          </w:p>
        </w:tc>
      </w:tr>
      <w:tr>
        <w:tblPrEx>
          <w:tblCellMar>
            <w:top w:w="0" w:type="dxa"/>
            <w:left w:w="0" w:type="dxa"/>
            <w:bottom w:w="0" w:type="dxa"/>
            <w:right w:w="0" w:type="dxa"/>
          </w:tblCellMar>
        </w:tblPrEx>
        <w:trPr>
          <w:trHeight w:val="331"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r>
              <w:rPr>
                <w:rFonts w:ascii="宋体" w:hAnsi="宋体" w:cs="宋体"/>
                <w:color w:val="000000"/>
                <w:sz w:val="24"/>
              </w:rPr>
              <w:t>82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sz w:val="24"/>
              </w:rPr>
              <w:t>0.</w:t>
            </w:r>
            <w:r>
              <w:rPr>
                <w:rFonts w:ascii="宋体" w:hAnsi="宋体" w:cs="宋体"/>
                <w:color w:val="000000"/>
                <w:sz w:val="24"/>
              </w:rPr>
              <w:t>82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为确保人民群众生命财产安全，对全区地质灾害隐患点配备了专职监测员，并要求专职监测员切实履行职责，加强日常监测巡查，认真填写监测记录，有险情及时报告。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无</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无</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2020年底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w:t>
            </w:r>
            <w:r>
              <w:rPr>
                <w:rFonts w:hint="eastAsia" w:ascii="宋体" w:hAns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经费</w:t>
            </w:r>
            <w:r>
              <w:rPr>
                <w:rFonts w:hint="eastAsia" w:ascii="宋体" w:hAnsi="宋体" w:cs="宋体"/>
                <w:color w:val="000000"/>
                <w:kern w:val="0"/>
                <w:sz w:val="24"/>
              </w:rPr>
              <w:t>8,200.00元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指标1：对隐患点监测预警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加强日常监测巡查，有险情及时报告，确保群众安全</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生态效益</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w:t>
            </w:r>
          </w:p>
        </w:tc>
      </w:tr>
    </w:tbl>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本部门按要求对2020年部门整体支出绩效评价情况开展自评，《乐山高新技术产业开发区自然资源局2020年部门整体支出绩效评价报告》见附件（附件1）。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0" w:firstLineChars="150"/>
        <w:jc w:val="center"/>
        <w:outlineLvl w:val="0"/>
        <w:rPr>
          <w:rStyle w:val="29"/>
          <w:rFonts w:ascii="方正小标宋简体" w:hAnsi="方正小标宋简体" w:eastAsia="方正小标宋简体" w:cs="方正小标宋简体"/>
          <w:b w:val="0"/>
        </w:rPr>
      </w:pPr>
      <w:bookmarkStart w:id="73" w:name="_Toc28216"/>
      <w:bookmarkStart w:id="74" w:name="_Toc15396613"/>
      <w:bookmarkStart w:id="75" w:name="_Toc15377225"/>
      <w:r>
        <w:rPr>
          <w:rFonts w:hint="eastAsia" w:ascii="方正小标宋简体" w:hAnsi="方正小标宋简体" w:eastAsia="方正小标宋简体" w:cs="方正小标宋简体"/>
          <w:color w:val="000000"/>
          <w:sz w:val="44"/>
          <w:szCs w:val="44"/>
        </w:rPr>
        <w:t>名</w:t>
      </w:r>
      <w:r>
        <w:rPr>
          <w:rStyle w:val="29"/>
          <w:rFonts w:hint="eastAsia" w:ascii="方正小标宋简体" w:hAnsi="方正小标宋简体" w:eastAsia="方正小标宋简体" w:cs="方正小标宋简体"/>
          <w:b w:val="0"/>
        </w:rPr>
        <w:t>词解释</w:t>
      </w:r>
      <w:bookmarkEnd w:id="73"/>
      <w:bookmarkEnd w:id="74"/>
      <w:bookmarkEnd w:id="75"/>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财政拨款收入：指反映单位从同级财政部门取得的财政预算资金。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事业收入：指反映事业单位开展专业业务活动及辅助活动取得的收入。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年初结转和结余：指反映以前年度尚未完成、结转到本年按有关规定继续使用的资金。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结余分配：指反映事业单位按照事业单位会计制度的规定从非财政补助结余中分配的事业基金和职工福利基金等。</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5、年末结转和结余：指反映单位按有关规定结转到下年或以后年度继续使用的资金。</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rPr>
        <w:t>一般公共服务（类）政府办公厅（室）及相关机构事务（款）行政运行（项）:指反映行政单位（包括实行公务员管理的事业单位）的基本支出。</w:t>
      </w:r>
    </w:p>
    <w:p>
      <w:pPr>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7.一般公共服务（类）政府办公厅（室）及相关机构事务（款）一般行政管理事务（项）:指反映行政单位（包括实行公务员管理的事业单位）未单独设置项级科目的其他项目支出。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国防支出（类）国防动员（款）人民防空（项）：指反映人民防空工程建设、宣传等方面的支出。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节能环保（类）污染防治（款）水体（项）：指反映政府在排水、污水处理、水体污染防治等方面的支出。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10.城乡社区（类）城乡社区管理事务（款）行政运行（项）：指反映行政单位的（包括施行公务员管理的事业单位）的基本支出。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11.城乡社区（类）城乡社区管理事务（款）一般行政管理事务（项）：指反映行政单位的（包括施行公务员管理的事业单位）未单独设置项级科目的其他项目支出。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12.城乡社区（类）城乡社区环境卫生（款）城乡社区环境卫生（项）：指反映城乡社区道路清扫、垃圾清运与处理、公厕建设与维护、园林绿化等方面的支出。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13.城乡社区（类）国有土地使用权出让收入安排的支出（款）土地开发支出（项）：指反映地方政府用于前期土地开发性支出以及前期土地开发相关的费用等支出。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14.城乡社区（类）城市基础设施配套费安排的支出（款）城市公共设施（项）：指反映城市基础设施配套费安排用于城市道路、桥涵、公共交通、道路照明、供排水、燃气、供热等公共设施维护、建设和管理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15.城乡社区（类）城市基础设施配套费安排的支出（款）城市环境卫生（项）：指反映城市基础设施配套费安排用于道路清扫、垃圾清运与处理、污水处理、园林绿化等方面的支出。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16.城乡社区（类）污水处理费安排的支出（款）代征手续费（项）：指反映用污水处理费安排的代征手续费支出。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17.农林水支出（类）农业（款）防灾救灾（项）：指反映对农业生产因遭受自然、生物灾害损失给予的补助，促进农业防灾增产措施补助，因其他灾害导致农牧渔业生产者损失给予的补助。</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18.农林水支出（类）水利（款）水利工程运行与维护(项):指反映水利系统用于江、河等治理工程运行与维护方面的支出。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20.农林水支出（类）水利（款）防汛（项）：指反映防汛业务支出。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20.农林水支出（类）水利（款）江河湖库水系综合整治（项）：指反映江河湖库水系综合整治方面的支出。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21.交通运输支出（类）公路水路运输（款）公路建设（项）：指反映新建公路支出，公路改建支出。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22.交通运输支出（类）公路水路运输（款）公路和运输安全（项）：指反映公路和运输安全支出。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23.交通运输支出（类）车辆购置税支出（款）车辆购置税其他支出（项）：指反映车辆购置税收入安排的其他支出。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24.交通运输支出（类）其他交通运输支出（款）其他交通运输支出（项）：指反映其他交通运输支出中除对公共交通运营补助以外的其他支出。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25.资源勘探信息等支出（类）支持中小企业发展和管理支出（款）其他支持中小企业发展和管理支出（项）：指反映行政单位的（包括施行公务员管理的事业单位）未单独设置项级科目的其他用于支持中小企业发展和管理方面的支出。</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26.住房保障（类）保障性安居工程支出（款）保障性安居工程支出（项）：指反映其他用于保障性住房方面的支出。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560" w:lineRule="exact"/>
        <w:jc w:val="center"/>
        <w:outlineLvl w:val="0"/>
        <w:rPr>
          <w:rStyle w:val="29"/>
          <w:rFonts w:ascii="黑体" w:hAnsi="黑体" w:eastAsia="黑体"/>
          <w:b w:val="0"/>
        </w:rPr>
      </w:pPr>
      <w:bookmarkStart w:id="76" w:name="_Toc15377226"/>
      <w:r>
        <w:rPr>
          <w:rFonts w:ascii="宋体"/>
          <w:b/>
          <w:color w:val="000000"/>
          <w:sz w:val="44"/>
          <w:szCs w:val="44"/>
        </w:rPr>
        <w:br w:type="page"/>
      </w:r>
      <w:bookmarkStart w:id="77" w:name="_Toc3807"/>
      <w:bookmarkStart w:id="78" w:name="_Toc15396614"/>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四部分 附件</w:t>
      </w:r>
      <w:bookmarkEnd w:id="77"/>
      <w:bookmarkEnd w:id="78"/>
    </w:p>
    <w:p>
      <w:pPr>
        <w:pStyle w:val="2"/>
        <w:spacing w:before="0" w:after="0" w:line="560" w:lineRule="exact"/>
        <w:rPr>
          <w:rFonts w:ascii="方正小标宋简体" w:hAnsi="方正小标宋简体" w:eastAsia="方正小标宋简体" w:cs="方正小标宋简体"/>
        </w:rPr>
      </w:pPr>
      <w:bookmarkStart w:id="79" w:name="_Toc16086"/>
      <w:bookmarkStart w:id="80" w:name="_Toc30708"/>
      <w:r>
        <w:rPr>
          <w:rFonts w:hint="eastAsia" w:ascii="黑体" w:hAnsi="黑体" w:eastAsia="黑体" w:cs="黑体"/>
          <w:b w:val="0"/>
          <w:bCs w:val="0"/>
        </w:rPr>
        <w:t>附件1</w:t>
      </w:r>
      <w:bookmarkEnd w:id="79"/>
      <w:bookmarkEnd w:id="80"/>
    </w:p>
    <w:p>
      <w:pPr>
        <w:topLinePunct/>
        <w:spacing w:line="560" w:lineRule="exact"/>
        <w:jc w:val="center"/>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t>乐山市自然资源局高新区分局</w:t>
      </w:r>
    </w:p>
    <w:p>
      <w:pPr>
        <w:topLinePunct/>
        <w:spacing w:line="560" w:lineRule="exact"/>
        <w:jc w:val="center"/>
        <w:rPr>
          <w:rFonts w:ascii="方正小标宋简体" w:hAnsi="Calibri" w:eastAsia="方正小标宋简体"/>
          <w:sz w:val="44"/>
          <w:szCs w:val="21"/>
          <w:shd w:val="clear" w:color="auto" w:fill="FFFFFF"/>
        </w:rPr>
      </w:pPr>
      <w:r>
        <w:rPr>
          <w:rFonts w:hint="eastAsia" w:ascii="方正小标宋简体" w:hAnsi="Calibri" w:eastAsia="方正小标宋简体"/>
          <w:sz w:val="44"/>
          <w:szCs w:val="21"/>
          <w:shd w:val="clear" w:color="auto" w:fill="FFFFFF"/>
        </w:rPr>
        <w:t>整体支出绩效报告</w:t>
      </w:r>
    </w:p>
    <w:p>
      <w:pPr>
        <w:widowControl/>
        <w:adjustRightInd w:val="0"/>
        <w:snapToGrid w:val="0"/>
        <w:spacing w:line="560" w:lineRule="exact"/>
        <w:ind w:firstLine="720"/>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（2020年）</w:t>
      </w:r>
    </w:p>
    <w:p>
      <w:pPr>
        <w:widowControl/>
        <w:adjustRightInd w:val="0"/>
        <w:snapToGrid w:val="0"/>
        <w:spacing w:line="560" w:lineRule="exact"/>
        <w:ind w:firstLine="720"/>
        <w:jc w:val="center"/>
        <w:rPr>
          <w:rFonts w:ascii="仿宋_GB2312" w:hAnsi="宋体" w:eastAsia="仿宋_GB2312"/>
          <w:sz w:val="32"/>
          <w:szCs w:val="32"/>
          <w:shd w:val="clear" w:color="auto" w:fill="FFFFFF"/>
        </w:rPr>
      </w:pPr>
    </w:p>
    <w:p>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一、单位概况</w:t>
      </w:r>
    </w:p>
    <w:p>
      <w:pPr>
        <w:numPr>
          <w:ilvl w:val="0"/>
          <w:numId w:val="1"/>
        </w:numPr>
        <w:spacing w:line="560" w:lineRule="exact"/>
        <w:rPr>
          <w:rFonts w:ascii="仿宋_GB2312" w:hAnsi="仿宋_GB2312" w:eastAsia="仿宋_GB2312" w:cs="仿宋_GB2312"/>
          <w:sz w:val="32"/>
          <w:szCs w:val="32"/>
        </w:rPr>
      </w:pPr>
      <w:r>
        <w:rPr>
          <w:rFonts w:hint="eastAsia" w:ascii="楷体_GB2312" w:hAnsi="Calibri" w:eastAsia="楷体_GB2312"/>
          <w:sz w:val="32"/>
          <w:szCs w:val="21"/>
          <w:shd w:val="clear" w:color="auto" w:fill="FFFFFF"/>
          <w:lang w:val="zh-CN"/>
        </w:rPr>
        <w:t>机构组成。</w:t>
      </w:r>
      <w:r>
        <w:rPr>
          <w:rFonts w:hint="eastAsia" w:ascii="仿宋_GB2312" w:hAnsi="仿宋_GB2312" w:eastAsia="仿宋_GB2312" w:cs="仿宋_GB2312"/>
          <w:sz w:val="32"/>
          <w:szCs w:val="32"/>
        </w:rPr>
        <w:t>乐山市自然资源局高新区分局属于高新区一级预算单位，参照公务员法管理办法进行管理，无下属二级预算单位。</w:t>
      </w:r>
    </w:p>
    <w:p>
      <w:pPr>
        <w:numPr>
          <w:ilvl w:val="0"/>
          <w:numId w:val="1"/>
        </w:num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lang w:val="zh-CN"/>
        </w:rPr>
        <w:t>机构职能。</w:t>
      </w:r>
      <w:r>
        <w:rPr>
          <w:rFonts w:hint="eastAsia" w:ascii="仿宋_GB2312" w:hAnsi="仿宋_GB2312" w:eastAsia="仿宋_GB2312" w:cs="仿宋_GB2312"/>
          <w:sz w:val="32"/>
          <w:szCs w:val="32"/>
        </w:rPr>
        <w:t>乐山市自然资源局高新区分局负责编制高新区的城乡规划；负责辖区自然资源调查监测评价,自然资源资产有偿使用工作,自然资源统一确权登记工作,自然资源的合理开发利用,安全生产和职业健康、生态环境 保护、审批服务便民化等工作；承担党工委、管委会交办的其他工作任务。</w:t>
      </w:r>
    </w:p>
    <w:p>
      <w:pPr>
        <w:numPr>
          <w:ilvl w:val="0"/>
          <w:numId w:val="1"/>
        </w:numPr>
        <w:spacing w:line="560" w:lineRule="exact"/>
        <w:rPr>
          <w:rFonts w:ascii="仿宋_GB2312" w:hAnsi="仿宋_GB2312" w:eastAsia="仿宋_GB2312" w:cs="仿宋_GB2312"/>
          <w:sz w:val="32"/>
          <w:szCs w:val="32"/>
          <w:shd w:val="clear" w:color="auto" w:fill="FFFFFF"/>
          <w:lang w:val="zh-CN"/>
        </w:rPr>
      </w:pPr>
      <w:r>
        <w:rPr>
          <w:rFonts w:hint="eastAsia" w:ascii="楷体_GB2312" w:hAnsi="楷体_GB2312" w:eastAsia="楷体_GB2312" w:cs="楷体_GB2312"/>
          <w:sz w:val="32"/>
          <w:szCs w:val="32"/>
          <w:shd w:val="clear" w:color="auto" w:fill="FFFFFF"/>
          <w:lang w:val="zh-CN"/>
        </w:rPr>
        <w:t>人员概况。</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zh-CN"/>
        </w:rPr>
        <w:t>年编制人数为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人，其中行政编制为0人，</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编制为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人。年末实有人数共有</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人，实有行政人员为0人，实有</w:t>
      </w:r>
      <w:r>
        <w:rPr>
          <w:rFonts w:hint="eastAsia" w:ascii="仿宋_GB2312" w:hAnsi="仿宋_GB2312" w:eastAsia="仿宋_GB2312" w:cs="仿宋_GB2312"/>
          <w:sz w:val="32"/>
          <w:szCs w:val="32"/>
        </w:rPr>
        <w:t>参公</w:t>
      </w:r>
      <w:r>
        <w:rPr>
          <w:rFonts w:hint="eastAsia" w:ascii="仿宋_GB2312" w:hAnsi="仿宋_GB2312" w:eastAsia="仿宋_GB2312" w:cs="仿宋_GB2312"/>
          <w:sz w:val="32"/>
          <w:szCs w:val="32"/>
          <w:lang w:val="zh-CN"/>
        </w:rPr>
        <w:t>人员为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人，实有聘用人员</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人。</w:t>
      </w:r>
    </w:p>
    <w:p>
      <w:pPr>
        <w:topLinePunct/>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二、部门财政资金收支情况</w:t>
      </w:r>
    </w:p>
    <w:p>
      <w:pPr>
        <w:numPr>
          <w:ilvl w:val="0"/>
          <w:numId w:val="8"/>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部门财政资金收入情况。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年财政总收入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元，其中财政拨款收入</w:t>
      </w:r>
      <w:r>
        <w:rPr>
          <w:rFonts w:hint="eastAsia" w:ascii="仿宋_GB2312" w:hAnsi="Calibri" w:eastAsia="仿宋_GB2312"/>
          <w:sz w:val="32"/>
          <w:szCs w:val="32"/>
        </w:rPr>
        <w:t>503.73万</w:t>
      </w:r>
      <w:r>
        <w:rPr>
          <w:rFonts w:hint="eastAsia" w:ascii="仿宋_GB2312" w:hAnsi="Calibri" w:eastAsia="仿宋_GB2312"/>
          <w:sz w:val="32"/>
          <w:szCs w:val="32"/>
          <w:lang w:val="zh-CN"/>
        </w:rPr>
        <w:t>元，</w:t>
      </w:r>
      <w:r>
        <w:rPr>
          <w:rFonts w:hint="eastAsia" w:ascii="仿宋_GB2312" w:hAnsi="Calibri" w:eastAsia="仿宋_GB2312"/>
          <w:sz w:val="32"/>
          <w:szCs w:val="32"/>
        </w:rPr>
        <w:t>占比100.00%。</w:t>
      </w:r>
    </w:p>
    <w:p>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部门财政资金支出情况。</w:t>
      </w:r>
      <w:r>
        <w:rPr>
          <w:rFonts w:hint="eastAsia" w:ascii="仿宋_GB2312" w:hAnsi="Calibri" w:eastAsia="仿宋_GB2312"/>
          <w:sz w:val="32"/>
          <w:szCs w:val="32"/>
          <w:lang w:val="zh-CN"/>
        </w:rPr>
        <w:t>本单位20</w:t>
      </w:r>
      <w:r>
        <w:rPr>
          <w:rFonts w:hint="eastAsia" w:ascii="仿宋_GB2312" w:hAnsi="Calibri" w:eastAsia="仿宋_GB2312"/>
          <w:sz w:val="32"/>
          <w:szCs w:val="32"/>
        </w:rPr>
        <w:t>20</w:t>
      </w:r>
      <w:r>
        <w:rPr>
          <w:rFonts w:hint="eastAsia" w:ascii="仿宋_GB2312" w:hAnsi="Calibri" w:eastAsia="仿宋_GB2312"/>
          <w:sz w:val="32"/>
          <w:szCs w:val="32"/>
          <w:lang w:val="zh-CN"/>
        </w:rPr>
        <w:t>年总支出</w:t>
      </w:r>
      <w:r>
        <w:rPr>
          <w:rFonts w:hint="eastAsia" w:ascii="仿宋_GB2312" w:hAnsi="Calibri" w:eastAsia="仿宋_GB2312"/>
          <w:sz w:val="32"/>
          <w:szCs w:val="32"/>
        </w:rPr>
        <w:t>783.66万</w:t>
      </w:r>
      <w:r>
        <w:rPr>
          <w:rFonts w:hint="eastAsia" w:ascii="仿宋_GB2312" w:hAnsi="Calibri" w:eastAsia="仿宋_GB2312"/>
          <w:sz w:val="32"/>
          <w:szCs w:val="32"/>
          <w:lang w:val="zh-CN"/>
        </w:rPr>
        <w:t>元，其中商品和服务支出</w:t>
      </w:r>
      <w:r>
        <w:rPr>
          <w:rFonts w:hint="eastAsia" w:ascii="仿宋_GB2312" w:hAnsi="Calibri" w:eastAsia="仿宋_GB2312"/>
          <w:sz w:val="32"/>
          <w:szCs w:val="32"/>
        </w:rPr>
        <w:t>254.60万</w:t>
      </w:r>
      <w:r>
        <w:rPr>
          <w:rFonts w:hint="eastAsia" w:ascii="仿宋_GB2312" w:hAnsi="Calibri" w:eastAsia="仿宋_GB2312"/>
          <w:sz w:val="32"/>
          <w:szCs w:val="32"/>
          <w:lang w:val="zh-CN"/>
        </w:rPr>
        <w:t>元，</w:t>
      </w:r>
      <w:r>
        <w:rPr>
          <w:rFonts w:hint="eastAsia" w:ascii="仿宋_GB2312" w:hAnsi="Calibri" w:eastAsia="仿宋_GB2312"/>
          <w:sz w:val="32"/>
          <w:szCs w:val="32"/>
        </w:rPr>
        <w:t>占比32.49%。</w:t>
      </w:r>
    </w:p>
    <w:p>
      <w:pPr>
        <w:spacing w:line="560" w:lineRule="exact"/>
        <w:rPr>
          <w:rFonts w:ascii="黑体" w:hAnsi="Calibri" w:eastAsia="黑体"/>
          <w:sz w:val="32"/>
          <w:szCs w:val="32"/>
          <w:shd w:val="clear" w:color="auto" w:fill="FFFFFF"/>
          <w:lang w:val="zh-CN"/>
        </w:rPr>
      </w:pPr>
      <w:r>
        <w:rPr>
          <w:rFonts w:hint="eastAsia" w:ascii="黑体" w:hAnsi="Calibri" w:eastAsia="黑体"/>
          <w:sz w:val="32"/>
          <w:szCs w:val="32"/>
          <w:shd w:val="clear" w:color="auto" w:fill="FFFFFF"/>
          <w:lang w:val="zh-CN"/>
        </w:rPr>
        <w:t>三、部门财政支出管理情况</w:t>
      </w:r>
    </w:p>
    <w:p>
      <w:pPr>
        <w:numPr>
          <w:ilvl w:val="0"/>
          <w:numId w:val="9"/>
        </w:numPr>
        <w:spacing w:line="560" w:lineRule="exact"/>
        <w:rPr>
          <w:rFonts w:ascii="仿宋_GB2312" w:hAnsi="Calibri" w:eastAsia="仿宋_GB2312"/>
          <w:sz w:val="32"/>
          <w:szCs w:val="32"/>
          <w:lang w:val="zh-CN"/>
        </w:rPr>
      </w:pPr>
      <w:r>
        <w:rPr>
          <w:rFonts w:hint="eastAsia" w:ascii="楷体_GB2312" w:hAnsi="Calibri" w:eastAsia="楷体_GB2312"/>
          <w:sz w:val="32"/>
          <w:szCs w:val="21"/>
          <w:shd w:val="clear" w:color="auto" w:fill="FFFFFF"/>
          <w:lang w:val="zh-CN"/>
        </w:rPr>
        <w:t>预决算编制情况。</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本单位严格根据国家有关方针、政策，按照上级下达的事业计划、任务，本着收支平衡的原则，编制预算。</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本单位在预决算编制过程中全面实行项目及总体绩效评价目标填报。</w:t>
      </w:r>
    </w:p>
    <w:p>
      <w:pPr>
        <w:numPr>
          <w:ilvl w:val="0"/>
          <w:numId w:val="9"/>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执行管理情况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1.本单位严格按照预决算管理制度执行，依法依规及时分配上级专项资金，专项资金使用完成情况100%。</w:t>
      </w:r>
    </w:p>
    <w:p>
      <w:pPr>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2.严格按照中央八项规定</w:t>
      </w:r>
      <w:r>
        <w:rPr>
          <w:rFonts w:hint="eastAsia" w:ascii="仿宋_GB2312" w:hAnsi="仿宋" w:eastAsia="仿宋_GB2312"/>
          <w:sz w:val="32"/>
          <w:szCs w:val="32"/>
          <w:lang w:eastAsia="zh-CN"/>
        </w:rPr>
        <w:t>精神</w:t>
      </w:r>
      <w:r>
        <w:rPr>
          <w:rFonts w:hint="eastAsia" w:ascii="仿宋_GB2312" w:hAnsi="仿宋" w:eastAsia="仿宋_GB2312"/>
          <w:sz w:val="32"/>
          <w:szCs w:val="32"/>
        </w:rPr>
        <w:t>等政策文件的规定开展日常工作。</w:t>
      </w:r>
    </w:p>
    <w:p>
      <w:pPr>
        <w:numPr>
          <w:ilvl w:val="0"/>
          <w:numId w:val="9"/>
        </w:numPr>
        <w:spacing w:line="560" w:lineRule="exact"/>
        <w:rPr>
          <w:rFonts w:ascii="仿宋_GB2312" w:hAnsi="Calibri" w:eastAsia="楷体_GB2312"/>
          <w:sz w:val="30"/>
          <w:szCs w:val="30"/>
          <w:lang w:val="zh-CN"/>
        </w:rPr>
      </w:pPr>
      <w:r>
        <w:rPr>
          <w:rFonts w:hint="eastAsia" w:ascii="仿宋_GB2312" w:hAnsi="Calibri" w:eastAsia="楷体_GB2312"/>
          <w:sz w:val="30"/>
          <w:szCs w:val="30"/>
          <w:lang w:val="zh-CN"/>
        </w:rPr>
        <w:t>综合管理情况</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1.</w:t>
      </w:r>
      <w:r>
        <w:rPr>
          <w:rFonts w:hint="eastAsia" w:ascii="仿宋_GB2312" w:hAnsi="Calibri" w:eastAsia="仿宋_GB2312"/>
          <w:sz w:val="32"/>
          <w:szCs w:val="32"/>
          <w:lang w:val="zh-CN"/>
        </w:rPr>
        <w:t>严格按照政府采购相关制度要求，事前编制采购预算，事中编制采购计划，严控采购流程和招投标工作。</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2.</w:t>
      </w:r>
      <w:r>
        <w:rPr>
          <w:rFonts w:hint="eastAsia" w:ascii="仿宋_GB2312" w:hAnsi="Calibri" w:eastAsia="仿宋_GB2312"/>
          <w:sz w:val="32"/>
          <w:szCs w:val="32"/>
          <w:lang w:val="zh-CN"/>
        </w:rPr>
        <w:t>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3.</w:t>
      </w:r>
      <w:r>
        <w:rPr>
          <w:rFonts w:hint="eastAsia" w:ascii="仿宋_GB2312" w:hAnsi="Calibri" w:eastAsia="仿宋_GB2312"/>
          <w:sz w:val="32"/>
          <w:szCs w:val="32"/>
          <w:lang w:val="zh-CN"/>
        </w:rPr>
        <w:t>本单位内部建立专门的管理制度规范内部控制工作的开展，包括岗位人员责任岗位分离制度、收入支出管理制度、财务档案管理、票据管理、财务印章管理、专项资金管理制度办法等。</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4.</w:t>
      </w:r>
      <w:r>
        <w:rPr>
          <w:rFonts w:hint="eastAsia" w:ascii="仿宋_GB2312" w:hAnsi="Calibri" w:eastAsia="仿宋_GB2312"/>
          <w:sz w:val="32"/>
          <w:szCs w:val="32"/>
          <w:lang w:val="zh-CN"/>
        </w:rPr>
        <w:t>本单位严格执行预决算公开制度。</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5.</w:t>
      </w:r>
      <w:r>
        <w:rPr>
          <w:rFonts w:hint="eastAsia" w:ascii="仿宋_GB2312" w:hAnsi="Calibri" w:eastAsia="仿宋_GB2312"/>
          <w:sz w:val="32"/>
          <w:szCs w:val="32"/>
          <w:lang w:val="zh-CN"/>
        </w:rPr>
        <w:t>本单位在预决算编制过程中全面实行项目及总体绩效评价目标填报及按要求报送绩效自评报告。</w:t>
      </w:r>
    </w:p>
    <w:p>
      <w:pPr>
        <w:spacing w:line="560" w:lineRule="exact"/>
        <w:ind w:firstLine="640" w:firstLineChars="200"/>
        <w:rPr>
          <w:rFonts w:ascii="仿宋_GB2312" w:hAnsi="Calibri" w:eastAsia="仿宋_GB2312"/>
          <w:sz w:val="32"/>
          <w:szCs w:val="32"/>
          <w:lang w:val="zh-CN"/>
        </w:rPr>
      </w:pPr>
      <w:r>
        <w:rPr>
          <w:rFonts w:hint="eastAsia" w:ascii="仿宋_GB2312" w:hAnsi="Calibri" w:eastAsia="仿宋_GB2312"/>
          <w:sz w:val="32"/>
          <w:szCs w:val="32"/>
        </w:rPr>
        <w:t>6.</w:t>
      </w:r>
      <w:r>
        <w:rPr>
          <w:rFonts w:hint="eastAsia" w:ascii="仿宋_GB2312" w:hAnsi="Calibri" w:eastAsia="仿宋_GB2312"/>
          <w:sz w:val="32"/>
          <w:szCs w:val="32"/>
          <w:lang w:val="zh-CN"/>
        </w:rPr>
        <w:t>本单位全面接受财政监督检查，在20</w:t>
      </w:r>
      <w:r>
        <w:rPr>
          <w:rFonts w:hint="eastAsia" w:ascii="仿宋_GB2312" w:hAnsi="Calibri" w:eastAsia="仿宋_GB2312"/>
          <w:sz w:val="32"/>
          <w:szCs w:val="32"/>
        </w:rPr>
        <w:t>20</w:t>
      </w:r>
      <w:r>
        <w:rPr>
          <w:rFonts w:hint="eastAsia" w:ascii="仿宋_GB2312" w:hAnsi="Calibri" w:eastAsia="仿宋_GB2312"/>
          <w:sz w:val="32"/>
          <w:szCs w:val="32"/>
          <w:lang w:val="zh-CN"/>
        </w:rPr>
        <w:t>年的各项检查中无违规违纪现象。</w:t>
      </w:r>
    </w:p>
    <w:p>
      <w:pPr>
        <w:numPr>
          <w:ilvl w:val="0"/>
          <w:numId w:val="9"/>
        </w:numPr>
        <w:spacing w:line="560" w:lineRule="exact"/>
        <w:rPr>
          <w:rFonts w:ascii="仿宋" w:hAnsi="仿宋" w:eastAsia="仿宋" w:cs="仿宋"/>
          <w:sz w:val="32"/>
          <w:szCs w:val="21"/>
          <w:lang w:val="zh-CN"/>
        </w:rPr>
      </w:pPr>
      <w:r>
        <w:rPr>
          <w:rFonts w:hint="eastAsia" w:ascii="仿宋_GB2312" w:hAnsi="Calibri" w:eastAsia="楷体_GB2312"/>
          <w:sz w:val="30"/>
          <w:szCs w:val="30"/>
          <w:lang w:val="zh-CN"/>
        </w:rPr>
        <w:t>整体绩效。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1.落实生态保护任务。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省自然资源厅《关于认真做好长江干流及主要支流沿岸矿山生态修复工作的通知》精神，乐山高新区范围共涉及长江干支流10km范围生态修复图斑8个，面积400余亩，在市自然资源局的指导下，在我区公服局、环保分局、建设局、财政局、安谷镇的大力支持下，历时一年，12月初完成生态修复外业工作，12月中旬通过专家组验收，并得到一致好评，顺利完成并落实习</w:t>
      </w:r>
      <w:r>
        <w:rPr>
          <w:rFonts w:hint="eastAsia" w:ascii="仿宋" w:hAnsi="仿宋" w:eastAsia="仿宋" w:cs="仿宋"/>
          <w:sz w:val="32"/>
          <w:szCs w:val="32"/>
          <w:lang w:eastAsia="zh-CN"/>
        </w:rPr>
        <w:t>近平</w:t>
      </w:r>
      <w:r>
        <w:rPr>
          <w:rFonts w:hint="eastAsia" w:ascii="仿宋" w:hAnsi="仿宋" w:eastAsia="仿宋" w:cs="仿宋"/>
          <w:sz w:val="32"/>
          <w:szCs w:val="32"/>
        </w:rPr>
        <w:t>总书记关于长江干支流生态保护重要指示的政治任务。</w:t>
      </w:r>
    </w:p>
    <w:p>
      <w:pPr>
        <w:spacing w:line="560" w:lineRule="exact"/>
        <w:ind w:firstLine="640" w:firstLineChars="200"/>
        <w:rPr>
          <w:rFonts w:ascii="仿宋_GB2312" w:hAnsi="仿宋_GB2312" w:eastAsia="仿宋_GB2312" w:cs="仿宋_GB2312"/>
          <w:sz w:val="32"/>
          <w:szCs w:val="32"/>
        </w:rPr>
      </w:pPr>
      <w:bookmarkStart w:id="81" w:name="_Hlk61274717"/>
      <w:r>
        <w:rPr>
          <w:rFonts w:hint="eastAsia" w:ascii="仿宋_GB2312" w:hAnsi="仿宋_GB2312" w:eastAsia="仿宋_GB2312" w:cs="仿宋_GB2312"/>
          <w:sz w:val="32"/>
          <w:szCs w:val="32"/>
        </w:rPr>
        <w:t>2.加强执法监察和动态巡查监管</w:t>
      </w:r>
      <w:bookmarkEnd w:id="81"/>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（1）坚持“预防为主、事前防范和事后查处”相结合的方针，</w:t>
      </w:r>
      <w:bookmarkStart w:id="82" w:name="_Hlk61274727"/>
      <w:r>
        <w:rPr>
          <w:rFonts w:hint="eastAsia" w:ascii="仿宋_GB2312" w:hAnsi="仿宋_GB2312" w:eastAsia="仿宋_GB2312" w:cs="仿宋_GB2312"/>
          <w:sz w:val="32"/>
          <w:szCs w:val="32"/>
        </w:rPr>
        <w:t>狠抓动态巡查，</w:t>
      </w:r>
      <w:bookmarkEnd w:id="82"/>
      <w:r>
        <w:rPr>
          <w:rFonts w:hint="eastAsia" w:ascii="仿宋_GB2312" w:hAnsi="仿宋_GB2312" w:eastAsia="仿宋_GB2312" w:cs="仿宋_GB2312"/>
          <w:sz w:val="32"/>
          <w:szCs w:val="32"/>
        </w:rPr>
        <w:t>建立动态巡查台账。加强“网格化”管理，层层落实责任。全年共组织开展动态巡查127次，定向巡查36次，有效制止违法行为17次，立案查处违法案件2宗。处理各举报平台、村民举报、乡镇举报涉嫌违法线索13宗。（2）加强土地供后监管。建立长效监管机制，明确责任分工，加强动态巡查，及时发现问题、处理问题、解决问题。保障企业与群众的切身利益，严厉打击违法违纪现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3.完成农村乱占耕地建房问题整治工作。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认真贯彻落实国家、省、市关于开展农村乱占耕地建房问题整治工作有关会议精神，我区2020年9月成立成立乐山高新区农村乱占耕地建房问题整治工作领导小组，并下发了《乐山高新区农村乱占耕地建房问题摸排工作实施方案》，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目前，我区农村乱占耕地建房问题共摸排图斑862个（拆分后共919个），违法图斑370个（多户住宅拆分后约460个），总占地面积为348.99亩、占耕地面积为270.77亩、占永久基本农田面积为33.13亩。目前已通过市级审查</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4.</w:t>
      </w:r>
      <w:r>
        <w:rPr>
          <w:rFonts w:hint="eastAsia" w:ascii="仿宋_GB2312" w:hAnsi="仿宋_GB2312" w:eastAsia="仿宋_GB2312" w:cs="仿宋_GB2312"/>
          <w:sz w:val="32"/>
          <w:szCs w:val="32"/>
        </w:rPr>
        <w:t>严格推进</w:t>
      </w:r>
      <w:bookmarkStart w:id="83" w:name="_Hlk61274761"/>
      <w:r>
        <w:rPr>
          <w:rFonts w:hint="eastAsia" w:ascii="仿宋_GB2312" w:hAnsi="仿宋_GB2312" w:eastAsia="仿宋_GB2312" w:cs="仿宋_GB2312"/>
          <w:sz w:val="32"/>
          <w:szCs w:val="32"/>
        </w:rPr>
        <w:t>2016-2019年卫片执法违法用地整改工作</w:t>
      </w:r>
      <w:bookmarkEnd w:id="83"/>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2016-2019年卫片执法违法用地整改图斑共37个，均已查处到位，未消除违法状态图斑4个，消除违法状态比例97.15%，其中，重点项目违法图斑1个，为成贵铁路变电站，剩余3个违法图斑均按照法律法规及部门职能职责移交相关单位，我分局已积极对接相关部门，加快违法图斑处置进度。</w:t>
      </w:r>
    </w:p>
    <w:p>
      <w:pPr>
        <w:spacing w:line="560" w:lineRule="exact"/>
        <w:ind w:firstLine="640" w:firstLineChars="200"/>
        <w:rPr>
          <w:rFonts w:ascii="仿宋" w:hAnsi="仿宋" w:eastAsia="仿宋" w:cs="仿宋"/>
          <w:sz w:val="32"/>
          <w:szCs w:val="32"/>
        </w:rPr>
      </w:pPr>
      <w:bookmarkStart w:id="84" w:name="_Hlk61274750"/>
      <w:r>
        <w:rPr>
          <w:rFonts w:hint="eastAsia" w:ascii="仿宋_GB2312" w:hAnsi="仿宋_GB2312" w:eastAsia="仿宋_GB2312" w:cs="仿宋_GB2312"/>
          <w:sz w:val="32"/>
          <w:szCs w:val="32"/>
        </w:rPr>
        <w:t>5.认真开展2020年度卫片执法工作</w:t>
      </w:r>
      <w:bookmarkEnd w:id="84"/>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前一至三季度下发卫片执法图斑共28个，其中违法图斑3个，其中连乐铁路违法图斑2个，目前已取得批文消除违法状态；乐西高速公路违法图斑1个，目前乐西高速项目部正在编制项目临时用地复垦方案，待完善临时用地相关材料后，赓即办理临时用地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6.认真做好林业管护工作。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有序推进造林工作，督促安谷镇完成森林质量精准提升示范项目的造林工作，全年已完成6000亩造林任务。</w:t>
      </w:r>
    </w:p>
    <w:p>
      <w:pPr>
        <w:numPr>
          <w:ilvl w:val="0"/>
          <w:numId w:val="10"/>
        </w:numPr>
        <w:topLinePunct/>
        <w:spacing w:line="560" w:lineRule="exact"/>
        <w:rPr>
          <w:rFonts w:ascii="黑体" w:hAnsi="Calibri" w:eastAsia="黑体"/>
          <w:sz w:val="32"/>
          <w:szCs w:val="32"/>
          <w:shd w:val="clear" w:color="auto" w:fill="FFFFFF"/>
        </w:rPr>
      </w:pPr>
      <w:r>
        <w:rPr>
          <w:rFonts w:hint="eastAsia" w:ascii="黑体" w:hAnsi="Calibri" w:eastAsia="黑体"/>
          <w:sz w:val="32"/>
          <w:szCs w:val="32"/>
          <w:shd w:val="clear" w:color="auto" w:fill="FFFFFF"/>
        </w:rPr>
        <w:t>评价结论及建议</w:t>
      </w:r>
    </w:p>
    <w:p>
      <w:pPr>
        <w:numPr>
          <w:ilvl w:val="0"/>
          <w:numId w:val="1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评价结论。</w:t>
      </w:r>
    </w:p>
    <w:p>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本单位履行职责职能,严格按预算法及高新区管委会的要求编制预决算、按财经法规及制度使用、管理资金,成效明显,主要体现在以下几个方面：</w:t>
      </w:r>
    </w:p>
    <w:p>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1.资金使用效益合理有效，保障了财政供养人员的日常开支，资金使用无虚列支出及随意使用现象,无大额现金支付现象。</w:t>
      </w:r>
    </w:p>
    <w:p>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2.资金使用社会效益好。</w:t>
      </w:r>
    </w:p>
    <w:p>
      <w:pPr>
        <w:topLinePunct/>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3.根据财政整体支出绩效评价的内容要求，本单位的自查结果为“良”。</w:t>
      </w:r>
    </w:p>
    <w:p>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存在问题。</w:t>
      </w:r>
    </w:p>
    <w:p>
      <w:pPr>
        <w:topLinePunct/>
        <w:spacing w:line="560" w:lineRule="exact"/>
        <w:ind w:firstLine="640" w:firstLineChars="200"/>
        <w:rPr>
          <w:rFonts w:ascii="仿宋_GB2312" w:hAnsi="仿宋" w:eastAsia="仿宋_GB2312"/>
          <w:sz w:val="30"/>
          <w:szCs w:val="30"/>
        </w:rPr>
      </w:pPr>
      <w:r>
        <w:rPr>
          <w:rFonts w:hint="eastAsia" w:ascii="仿宋_GB2312" w:hAnsi="仿宋" w:eastAsia="仿宋_GB2312"/>
          <w:sz w:val="32"/>
          <w:szCs w:val="32"/>
        </w:rPr>
        <w:t>本部门收入支出预决算差异过大，未能准确编制预算，预算编制精细化</w:t>
      </w:r>
      <w:r>
        <w:rPr>
          <w:rFonts w:hint="eastAsia" w:ascii="仿宋_GB2312" w:hAnsi="仿宋" w:eastAsia="仿宋_GB2312"/>
          <w:sz w:val="32"/>
          <w:szCs w:val="32"/>
          <w:lang w:eastAsia="zh-CN"/>
        </w:rPr>
        <w:t>程度</w:t>
      </w:r>
      <w:bookmarkStart w:id="112" w:name="_GoBack"/>
      <w:bookmarkEnd w:id="112"/>
      <w:r>
        <w:rPr>
          <w:rFonts w:hint="eastAsia" w:ascii="仿宋_GB2312" w:hAnsi="仿宋" w:eastAsia="仿宋_GB2312"/>
          <w:sz w:val="32"/>
          <w:szCs w:val="32"/>
        </w:rPr>
        <w:t>有待提高。</w:t>
      </w:r>
    </w:p>
    <w:p>
      <w:pPr>
        <w:numPr>
          <w:ilvl w:val="0"/>
          <w:numId w:val="1"/>
        </w:numPr>
        <w:spacing w:line="560" w:lineRule="exact"/>
        <w:rPr>
          <w:rFonts w:ascii="楷体_GB2312" w:hAnsi="Calibri" w:eastAsia="楷体_GB2312"/>
          <w:sz w:val="32"/>
          <w:szCs w:val="21"/>
          <w:shd w:val="clear" w:color="auto" w:fill="FFFFFF"/>
          <w:lang w:val="zh-CN"/>
        </w:rPr>
      </w:pPr>
      <w:r>
        <w:rPr>
          <w:rFonts w:hint="eastAsia" w:ascii="楷体_GB2312" w:hAnsi="Calibri" w:eastAsia="楷体_GB2312"/>
          <w:sz w:val="32"/>
          <w:szCs w:val="21"/>
          <w:shd w:val="clear" w:color="auto" w:fill="FFFFFF"/>
          <w:lang w:val="zh-CN"/>
        </w:rPr>
        <w:t>改进建议。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在今后的工作一方面要严格预算编制，做到细化精确，另一方面按照“统筹兼顾、勤俭节约、量力而行、讲求绩效、收支平衡”的原则，根据项目实施进度和实际需求安排预算。</w:t>
      </w:r>
    </w:p>
    <w:p>
      <w:pPr>
        <w:spacing w:line="560" w:lineRule="exact"/>
      </w:pPr>
    </w:p>
    <w:p>
      <w:pPr>
        <w:widowControl/>
        <w:spacing w:line="560" w:lineRule="exact"/>
        <w:jc w:val="left"/>
      </w:pPr>
    </w:p>
    <w:p>
      <w:pPr>
        <w:spacing w:line="560" w:lineRule="exact"/>
        <w:ind w:firstLine="880" w:firstLineChars="200"/>
        <w:rPr>
          <w:rStyle w:val="29"/>
          <w:rFonts w:ascii="黑体" w:hAnsi="黑体" w:eastAsia="黑体"/>
          <w:b w:val="0"/>
        </w:rPr>
      </w:pPr>
      <w:r>
        <w:rPr>
          <w:rStyle w:val="29"/>
          <w:rFonts w:ascii="黑体" w:hAnsi="黑体" w:eastAsia="黑体"/>
          <w:b w:val="0"/>
        </w:rPr>
        <w:br w:type="page"/>
      </w:r>
    </w:p>
    <w:p>
      <w:pPr>
        <w:spacing w:line="560" w:lineRule="exact"/>
        <w:jc w:val="center"/>
        <w:outlineLvl w:val="0"/>
        <w:rPr>
          <w:rStyle w:val="29"/>
          <w:rFonts w:ascii="方正小标宋简体" w:hAnsi="方正小标宋简体" w:eastAsia="方正小标宋简体" w:cs="方正小标宋简体"/>
          <w:b w:val="0"/>
        </w:rPr>
      </w:pPr>
      <w:bookmarkStart w:id="85" w:name="_Toc31214"/>
      <w:bookmarkStart w:id="86" w:name="_Toc15396618"/>
      <w:r>
        <w:rPr>
          <w:rFonts w:hint="eastAsia" w:ascii="方正小标宋简体" w:hAnsi="方正小标宋简体" w:eastAsia="方正小标宋简体" w:cs="方正小标宋简体"/>
          <w:color w:val="000000"/>
          <w:sz w:val="44"/>
          <w:szCs w:val="44"/>
        </w:rPr>
        <w:t>第</w:t>
      </w:r>
      <w:r>
        <w:rPr>
          <w:rStyle w:val="29"/>
          <w:rFonts w:hint="eastAsia" w:ascii="方正小标宋简体" w:hAnsi="方正小标宋简体" w:eastAsia="方正小标宋简体" w:cs="方正小标宋简体"/>
          <w:b w:val="0"/>
        </w:rPr>
        <w:t>五部分 附表</w:t>
      </w:r>
      <w:bookmarkEnd w:id="76"/>
      <w:bookmarkEnd w:id="85"/>
      <w:bookmarkEnd w:id="86"/>
    </w:p>
    <w:p>
      <w:pPr>
        <w:pStyle w:val="2"/>
      </w:pPr>
    </w:p>
    <w:p>
      <w:pPr>
        <w:pStyle w:val="2"/>
        <w:spacing w:before="0" w:after="0" w:line="560" w:lineRule="exact"/>
        <w:rPr>
          <w:rFonts w:ascii="仿宋_GB2312" w:hAnsi="仿宋_GB2312" w:eastAsia="仿宋_GB2312" w:cs="仿宋_GB2312"/>
          <w:color w:val="000000"/>
        </w:rPr>
      </w:pPr>
      <w:bookmarkStart w:id="87" w:name="_Toc15396619"/>
      <w:bookmarkStart w:id="88" w:name="_Toc3440"/>
      <w:r>
        <w:rPr>
          <w:rFonts w:hint="eastAsia" w:ascii="仿宋_GB2312" w:hAnsi="仿宋_GB2312" w:eastAsia="仿宋_GB2312" w:cs="仿宋_GB2312"/>
          <w:b w:val="0"/>
          <w:color w:val="000000"/>
        </w:rPr>
        <w:t>一、收</w:t>
      </w:r>
      <w:r>
        <w:rPr>
          <w:rStyle w:val="30"/>
          <w:rFonts w:hint="eastAsia" w:ascii="仿宋_GB2312" w:hAnsi="仿宋_GB2312" w:eastAsia="仿宋_GB2312" w:cs="仿宋_GB2312"/>
          <w:b w:val="0"/>
          <w:bCs w:val="0"/>
        </w:rPr>
        <w:t>入支出决算总表</w:t>
      </w:r>
      <w:bookmarkEnd w:id="87"/>
      <w:bookmarkEnd w:id="88"/>
    </w:p>
    <w:p>
      <w:pPr>
        <w:pStyle w:val="2"/>
        <w:spacing w:before="0" w:after="0" w:line="560" w:lineRule="exact"/>
        <w:rPr>
          <w:rFonts w:ascii="仿宋_GB2312" w:hAnsi="仿宋_GB2312" w:eastAsia="仿宋_GB2312" w:cs="仿宋_GB2312"/>
          <w:color w:val="000000"/>
        </w:rPr>
      </w:pPr>
      <w:bookmarkStart w:id="89" w:name="_Toc15396620"/>
      <w:bookmarkStart w:id="90" w:name="_Toc25157"/>
      <w:r>
        <w:rPr>
          <w:rFonts w:hint="eastAsia" w:ascii="仿宋_GB2312" w:hAnsi="仿宋_GB2312" w:eastAsia="仿宋_GB2312" w:cs="仿宋_GB2312"/>
          <w:b w:val="0"/>
          <w:color w:val="000000"/>
        </w:rPr>
        <w:t>二、收</w:t>
      </w:r>
      <w:r>
        <w:rPr>
          <w:rStyle w:val="30"/>
          <w:rFonts w:hint="eastAsia" w:ascii="仿宋_GB2312" w:hAnsi="仿宋_GB2312" w:eastAsia="仿宋_GB2312" w:cs="仿宋_GB2312"/>
          <w:b w:val="0"/>
          <w:bCs w:val="0"/>
        </w:rPr>
        <w:t>入决算表</w:t>
      </w:r>
      <w:bookmarkEnd w:id="89"/>
      <w:bookmarkEnd w:id="90"/>
    </w:p>
    <w:p>
      <w:pPr>
        <w:pStyle w:val="2"/>
        <w:spacing w:before="0" w:after="0" w:line="560" w:lineRule="exact"/>
        <w:rPr>
          <w:rFonts w:ascii="仿宋_GB2312" w:hAnsi="仿宋_GB2312" w:eastAsia="仿宋_GB2312" w:cs="仿宋_GB2312"/>
          <w:color w:val="000000"/>
        </w:rPr>
      </w:pPr>
      <w:bookmarkStart w:id="91" w:name="_Toc15396621"/>
      <w:bookmarkStart w:id="92" w:name="_Toc10980"/>
      <w:r>
        <w:rPr>
          <w:rStyle w:val="30"/>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30"/>
          <w:rFonts w:hint="eastAsia" w:ascii="仿宋_GB2312" w:hAnsi="仿宋_GB2312" w:eastAsia="仿宋_GB2312" w:cs="仿宋_GB2312"/>
          <w:b w:val="0"/>
          <w:bCs w:val="0"/>
        </w:rPr>
        <w:t>出决算表</w:t>
      </w:r>
      <w:bookmarkEnd w:id="91"/>
      <w:bookmarkEnd w:id="92"/>
    </w:p>
    <w:p>
      <w:pPr>
        <w:pStyle w:val="2"/>
        <w:spacing w:before="0" w:after="0" w:line="560" w:lineRule="exact"/>
        <w:rPr>
          <w:rFonts w:ascii="仿宋_GB2312" w:hAnsi="仿宋_GB2312" w:eastAsia="仿宋_GB2312" w:cs="仿宋_GB2312"/>
          <w:b w:val="0"/>
          <w:color w:val="000000"/>
        </w:rPr>
      </w:pPr>
      <w:bookmarkStart w:id="93" w:name="_Toc15396622"/>
      <w:bookmarkStart w:id="94" w:name="_Toc23585"/>
      <w:r>
        <w:rPr>
          <w:rStyle w:val="30"/>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政拨款收入支出决算总表</w:t>
      </w:r>
      <w:bookmarkEnd w:id="93"/>
      <w:bookmarkEnd w:id="94"/>
    </w:p>
    <w:p>
      <w:pPr>
        <w:pStyle w:val="2"/>
        <w:spacing w:before="0" w:after="0" w:line="560" w:lineRule="exact"/>
        <w:rPr>
          <w:rStyle w:val="30"/>
          <w:rFonts w:ascii="仿宋_GB2312" w:hAnsi="仿宋_GB2312" w:eastAsia="仿宋_GB2312" w:cs="仿宋_GB2312"/>
          <w:b w:val="0"/>
          <w:bCs w:val="0"/>
        </w:rPr>
      </w:pPr>
      <w:bookmarkStart w:id="95" w:name="_Toc15396623"/>
      <w:bookmarkStart w:id="96" w:name="_Toc17873"/>
      <w:r>
        <w:rPr>
          <w:rStyle w:val="30"/>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30"/>
          <w:rFonts w:hint="eastAsia" w:ascii="仿宋_GB2312" w:hAnsi="仿宋_GB2312" w:eastAsia="仿宋_GB2312" w:cs="仿宋_GB2312"/>
          <w:b w:val="0"/>
          <w:bCs w:val="0"/>
        </w:rPr>
        <w:t>政拨款支出决算明细表</w:t>
      </w:r>
      <w:bookmarkEnd w:id="95"/>
      <w:bookmarkEnd w:id="96"/>
      <w:bookmarkStart w:id="97" w:name="_Toc15396624"/>
    </w:p>
    <w:p>
      <w:pPr>
        <w:pStyle w:val="2"/>
        <w:spacing w:before="0" w:after="0" w:line="560" w:lineRule="exact"/>
        <w:rPr>
          <w:rFonts w:ascii="仿宋_GB2312" w:hAnsi="仿宋_GB2312" w:eastAsia="仿宋_GB2312" w:cs="仿宋_GB2312"/>
          <w:color w:val="000000"/>
        </w:rPr>
      </w:pPr>
      <w:bookmarkStart w:id="98" w:name="_Toc29816"/>
      <w:r>
        <w:rPr>
          <w:rStyle w:val="30"/>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般公共预算财政拨款支出决算表</w:t>
      </w:r>
      <w:bookmarkEnd w:id="97"/>
      <w:bookmarkEnd w:id="98"/>
    </w:p>
    <w:p>
      <w:pPr>
        <w:pStyle w:val="2"/>
        <w:spacing w:before="0" w:after="0" w:line="560" w:lineRule="exact"/>
        <w:rPr>
          <w:rFonts w:ascii="仿宋_GB2312" w:hAnsi="仿宋_GB2312" w:eastAsia="仿宋_GB2312" w:cs="仿宋_GB2312"/>
          <w:color w:val="000000"/>
        </w:rPr>
      </w:pPr>
      <w:bookmarkStart w:id="99" w:name="_Toc15396625"/>
      <w:bookmarkStart w:id="100" w:name="_Toc14733"/>
      <w:r>
        <w:rPr>
          <w:rStyle w:val="30"/>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般公共预算财政拨款支出决算明细表</w:t>
      </w:r>
      <w:bookmarkEnd w:id="99"/>
      <w:bookmarkEnd w:id="100"/>
    </w:p>
    <w:p>
      <w:pPr>
        <w:pStyle w:val="2"/>
        <w:spacing w:before="0" w:after="0" w:line="560" w:lineRule="exact"/>
        <w:rPr>
          <w:rFonts w:ascii="仿宋_GB2312" w:hAnsi="仿宋_GB2312" w:eastAsia="仿宋_GB2312" w:cs="仿宋_GB2312"/>
          <w:color w:val="000000"/>
        </w:rPr>
      </w:pPr>
      <w:bookmarkStart w:id="101" w:name="_Toc15396626"/>
      <w:bookmarkStart w:id="102" w:name="_Toc31392"/>
      <w:r>
        <w:rPr>
          <w:rStyle w:val="30"/>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般公共预算财政拨款基本支出决算表</w:t>
      </w:r>
      <w:bookmarkEnd w:id="101"/>
      <w:bookmarkEnd w:id="102"/>
    </w:p>
    <w:p>
      <w:pPr>
        <w:pStyle w:val="2"/>
        <w:spacing w:before="0" w:after="0" w:line="560" w:lineRule="exact"/>
        <w:rPr>
          <w:rFonts w:ascii="仿宋_GB2312" w:hAnsi="仿宋_GB2312" w:eastAsia="仿宋_GB2312" w:cs="仿宋_GB2312"/>
          <w:color w:val="000000"/>
        </w:rPr>
      </w:pPr>
      <w:bookmarkStart w:id="103" w:name="_Toc15396627"/>
      <w:bookmarkStart w:id="104" w:name="_Toc15393"/>
      <w:r>
        <w:rPr>
          <w:rStyle w:val="30"/>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般公共预算财政拨款项目支出决算表</w:t>
      </w:r>
      <w:bookmarkEnd w:id="103"/>
      <w:bookmarkEnd w:id="104"/>
    </w:p>
    <w:p>
      <w:pPr>
        <w:pStyle w:val="2"/>
        <w:spacing w:before="0" w:after="0" w:line="560" w:lineRule="exact"/>
        <w:rPr>
          <w:rFonts w:ascii="仿宋_GB2312" w:hAnsi="仿宋_GB2312" w:eastAsia="仿宋_GB2312" w:cs="仿宋_GB2312"/>
          <w:color w:val="000000"/>
        </w:rPr>
      </w:pPr>
      <w:bookmarkStart w:id="105" w:name="_Toc15396628"/>
      <w:bookmarkStart w:id="106" w:name="_Toc2143"/>
      <w:r>
        <w:rPr>
          <w:rStyle w:val="30"/>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30"/>
          <w:rFonts w:hint="eastAsia" w:ascii="仿宋_GB2312" w:hAnsi="仿宋_GB2312" w:eastAsia="仿宋_GB2312" w:cs="仿宋_GB2312"/>
          <w:b w:val="0"/>
          <w:bCs w:val="0"/>
        </w:rPr>
        <w:t>般公共预算财政拨款“三公”经费支出决算表</w:t>
      </w:r>
      <w:bookmarkEnd w:id="105"/>
      <w:bookmarkEnd w:id="106"/>
    </w:p>
    <w:p>
      <w:pPr>
        <w:pStyle w:val="2"/>
        <w:spacing w:before="0" w:after="0" w:line="560" w:lineRule="exact"/>
        <w:rPr>
          <w:rStyle w:val="30"/>
          <w:rFonts w:ascii="仿宋_GB2312" w:hAnsi="仿宋_GB2312" w:eastAsia="仿宋_GB2312" w:cs="仿宋_GB2312"/>
          <w:b w:val="0"/>
          <w:bCs w:val="0"/>
        </w:rPr>
      </w:pPr>
      <w:bookmarkStart w:id="107" w:name="_Toc15396629"/>
      <w:bookmarkStart w:id="108" w:name="_Toc21654"/>
      <w:r>
        <w:rPr>
          <w:rStyle w:val="30"/>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30"/>
          <w:rFonts w:hint="eastAsia" w:ascii="仿宋_GB2312" w:hAnsi="仿宋_GB2312" w:eastAsia="仿宋_GB2312" w:cs="仿宋_GB2312"/>
          <w:b w:val="0"/>
          <w:bCs w:val="0"/>
        </w:rPr>
        <w:t>府性基金预算财政拨款收入支出决算表</w:t>
      </w:r>
      <w:bookmarkEnd w:id="107"/>
      <w:bookmarkEnd w:id="108"/>
    </w:p>
    <w:p>
      <w:pPr>
        <w:pStyle w:val="2"/>
        <w:spacing w:before="0" w:after="0" w:line="560" w:lineRule="exact"/>
        <w:rPr>
          <w:rStyle w:val="30"/>
          <w:rFonts w:ascii="仿宋_GB2312" w:hAnsi="仿宋_GB2312" w:eastAsia="仿宋_GB2312" w:cs="仿宋_GB2312"/>
          <w:b w:val="0"/>
          <w:bCs w:val="0"/>
        </w:rPr>
      </w:pPr>
      <w:bookmarkStart w:id="109" w:name="_Toc29576"/>
      <w:r>
        <w:rPr>
          <w:rStyle w:val="30"/>
          <w:rFonts w:hint="eastAsia" w:ascii="仿宋_GB2312" w:hAnsi="仿宋_GB2312" w:eastAsia="仿宋_GB2312" w:cs="仿宋_GB2312"/>
          <w:b w:val="0"/>
          <w:bCs w:val="0"/>
        </w:rPr>
        <w:t>十二、政府性基金预算财政拨款“三公”经费支出决算表</w:t>
      </w:r>
      <w:bookmarkEnd w:id="109"/>
    </w:p>
    <w:p>
      <w:pPr>
        <w:pStyle w:val="2"/>
        <w:spacing w:before="0" w:after="0" w:line="560" w:lineRule="exact"/>
        <w:rPr>
          <w:rStyle w:val="30"/>
          <w:rFonts w:ascii="仿宋_GB2312" w:hAnsi="仿宋_GB2312" w:eastAsia="仿宋_GB2312" w:cs="仿宋_GB2312"/>
          <w:b w:val="0"/>
          <w:bCs w:val="0"/>
        </w:rPr>
      </w:pPr>
      <w:bookmarkStart w:id="110" w:name="_Toc2205"/>
      <w:r>
        <w:rPr>
          <w:rStyle w:val="30"/>
          <w:rFonts w:hint="eastAsia" w:ascii="仿宋_GB2312" w:hAnsi="仿宋_GB2312" w:eastAsia="仿宋_GB2312" w:cs="仿宋_GB2312"/>
          <w:b w:val="0"/>
          <w:bCs w:val="0"/>
        </w:rPr>
        <w:t>十三、国有资本经营预算财政拨款收入支出决算表</w:t>
      </w:r>
      <w:bookmarkEnd w:id="110"/>
    </w:p>
    <w:p>
      <w:pPr>
        <w:pStyle w:val="2"/>
        <w:spacing w:before="0" w:after="0" w:line="560" w:lineRule="exact"/>
        <w:rPr>
          <w:rStyle w:val="30"/>
          <w:rFonts w:ascii="仿宋_GB2312" w:hAnsi="仿宋_GB2312" w:eastAsia="仿宋_GB2312" w:cs="仿宋_GB2312"/>
          <w:b w:val="0"/>
          <w:bCs w:val="0"/>
        </w:rPr>
      </w:pPr>
      <w:bookmarkStart w:id="111" w:name="_Toc15761"/>
      <w:r>
        <w:rPr>
          <w:rStyle w:val="30"/>
          <w:rFonts w:hint="eastAsia" w:ascii="仿宋_GB2312" w:hAnsi="仿宋_GB2312" w:eastAsia="仿宋_GB2312" w:cs="仿宋_GB2312"/>
          <w:b w:val="0"/>
          <w:bCs w:val="0"/>
        </w:rPr>
        <w:t>十四、国有资本经营预算财政拨款支出决算表</w:t>
      </w:r>
      <w:bookmarkEnd w:id="111"/>
    </w:p>
    <w:p>
      <w:pPr>
        <w:pStyle w:val="2"/>
        <w:spacing w:before="0" w:after="0" w:line="560" w:lineRule="exact"/>
        <w:rPr>
          <w:rStyle w:val="30"/>
          <w:rFonts w:ascii="仿宋_GB2312" w:hAnsi="仿宋_GB2312" w:eastAsia="仿宋_GB2312" w:cs="仿宋_GB2312"/>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2278E2-B5CF-4A8C-AC70-13664A57EA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AA0A116-C6B1-4876-B731-8040697556A3}"/>
  </w:font>
  <w:font w:name="Cambria">
    <w:panose1 w:val="02040503050406030204"/>
    <w:charset w:val="00"/>
    <w:family w:val="roman"/>
    <w:pitch w:val="default"/>
    <w:sig w:usb0="A00002EF" w:usb1="4000004B" w:usb2="00000000" w:usb3="00000000" w:csb0="2000019F" w:csb1="00000000"/>
    <w:embedRegular r:id="rId3" w:fontKey="{8B5E44F7-9F55-4249-BF46-AB4C44171240}"/>
  </w:font>
  <w:font w:name="仿宋_GB2312">
    <w:panose1 w:val="02010609030101010101"/>
    <w:charset w:val="86"/>
    <w:family w:val="modern"/>
    <w:pitch w:val="default"/>
    <w:sig w:usb0="00000001" w:usb1="080E0000" w:usb2="00000000" w:usb3="00000000" w:csb0="00040000" w:csb1="00000000"/>
    <w:embedRegular r:id="rId4" w:fontKey="{05719B4D-A5A1-4322-80A2-254DD888C1DD}"/>
  </w:font>
  <w:font w:name="仿宋">
    <w:panose1 w:val="02010609060101010101"/>
    <w:charset w:val="86"/>
    <w:family w:val="modern"/>
    <w:pitch w:val="default"/>
    <w:sig w:usb0="800002BF" w:usb1="38CF7CFA" w:usb2="00000016" w:usb3="00000000" w:csb0="00040001" w:csb1="00000000"/>
    <w:embedRegular r:id="rId5" w:fontKey="{80B4E9E2-2EF7-4ABA-AAA8-E2D7BC55CE2B}"/>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A32ACA18-CBD5-4D23-9E1E-D450B6BC7F74}"/>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B8DAE89"/>
    <w:multiLevelType w:val="singleLevel"/>
    <w:tmpl w:val="2B8DAE89"/>
    <w:lvl w:ilvl="0" w:tentative="0">
      <w:start w:val="3"/>
      <w:numFmt w:val="decimal"/>
      <w:lvlText w:val="%1."/>
      <w:lvlJc w:val="left"/>
      <w:pPr>
        <w:tabs>
          <w:tab w:val="left" w:pos="312"/>
        </w:tabs>
      </w:pPr>
    </w:lvl>
  </w:abstractNum>
  <w:abstractNum w:abstractNumId="4">
    <w:nsid w:val="448D2448"/>
    <w:multiLevelType w:val="multilevel"/>
    <w:tmpl w:val="448D24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3644E7"/>
    <w:multiLevelType w:val="singleLevel"/>
    <w:tmpl w:val="493644E7"/>
    <w:lvl w:ilvl="0" w:tentative="0">
      <w:start w:val="1"/>
      <w:numFmt w:val="chineseCounting"/>
      <w:suff w:val="nothing"/>
      <w:lvlText w:val="（%1）"/>
      <w:lvlJc w:val="left"/>
      <w:pPr>
        <w:ind w:left="-42"/>
      </w:pPr>
      <w:rPr>
        <w:rFonts w:hint="eastAsia"/>
      </w:rPr>
    </w:lvl>
  </w:abstractNum>
  <w:abstractNum w:abstractNumId="6">
    <w:nsid w:val="51ED63FA"/>
    <w:multiLevelType w:val="singleLevel"/>
    <w:tmpl w:val="51ED63FA"/>
    <w:lvl w:ilvl="0" w:tentative="0">
      <w:start w:val="1"/>
      <w:numFmt w:val="chineseCounting"/>
      <w:suff w:val="nothing"/>
      <w:lvlText w:val="%1、"/>
      <w:lvlJc w:val="left"/>
      <w:rPr>
        <w:rFonts w:hint="eastAsia"/>
      </w:rPr>
    </w:lvl>
  </w:abstractNum>
  <w:abstractNum w:abstractNumId="7">
    <w:nsid w:val="7EE55BF3"/>
    <w:multiLevelType w:val="multilevel"/>
    <w:tmpl w:val="7EE55BF3"/>
    <w:lvl w:ilvl="0" w:tentative="0">
      <w:start w:val="1"/>
      <w:numFmt w:val="chineseCountingThousand"/>
      <w:pStyle w:val="36"/>
      <w:suff w:val="nothing"/>
      <w:lvlText w:val="（%1）"/>
      <w:lvlJc w:val="left"/>
      <w:pPr>
        <w:ind w:left="-215" w:firstLine="635"/>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4"/>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BCC"/>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87553"/>
    <w:rsid w:val="0059014D"/>
    <w:rsid w:val="005B5C64"/>
    <w:rsid w:val="005C6BD0"/>
    <w:rsid w:val="005C6C4C"/>
    <w:rsid w:val="005D094F"/>
    <w:rsid w:val="005D1C8B"/>
    <w:rsid w:val="005D468D"/>
    <w:rsid w:val="005D5CED"/>
    <w:rsid w:val="005F1A4C"/>
    <w:rsid w:val="00605688"/>
    <w:rsid w:val="006070AF"/>
    <w:rsid w:val="00607E6C"/>
    <w:rsid w:val="006101B1"/>
    <w:rsid w:val="00614E44"/>
    <w:rsid w:val="0062189C"/>
    <w:rsid w:val="0062270A"/>
    <w:rsid w:val="00622830"/>
    <w:rsid w:val="00623DA0"/>
    <w:rsid w:val="00630AEF"/>
    <w:rsid w:val="006325F8"/>
    <w:rsid w:val="00633463"/>
    <w:rsid w:val="00634C9A"/>
    <w:rsid w:val="006440E4"/>
    <w:rsid w:val="0066343B"/>
    <w:rsid w:val="00664777"/>
    <w:rsid w:val="0067373D"/>
    <w:rsid w:val="006748A4"/>
    <w:rsid w:val="00681A31"/>
    <w:rsid w:val="00683E73"/>
    <w:rsid w:val="006A2F2A"/>
    <w:rsid w:val="006A3141"/>
    <w:rsid w:val="006A5E34"/>
    <w:rsid w:val="006B2422"/>
    <w:rsid w:val="006B2B9A"/>
    <w:rsid w:val="006C1937"/>
    <w:rsid w:val="006F020C"/>
    <w:rsid w:val="007127B7"/>
    <w:rsid w:val="0071798E"/>
    <w:rsid w:val="00727533"/>
    <w:rsid w:val="007416B6"/>
    <w:rsid w:val="00745AD0"/>
    <w:rsid w:val="00746851"/>
    <w:rsid w:val="00746F48"/>
    <w:rsid w:val="0075404D"/>
    <w:rsid w:val="0076182A"/>
    <w:rsid w:val="00767B7E"/>
    <w:rsid w:val="007770C3"/>
    <w:rsid w:val="0077781E"/>
    <w:rsid w:val="00784D24"/>
    <w:rsid w:val="00785FBA"/>
    <w:rsid w:val="00786E4A"/>
    <w:rsid w:val="007875EB"/>
    <w:rsid w:val="0079426B"/>
    <w:rsid w:val="007C419B"/>
    <w:rsid w:val="007D1682"/>
    <w:rsid w:val="007D312A"/>
    <w:rsid w:val="007D3F19"/>
    <w:rsid w:val="007E23B0"/>
    <w:rsid w:val="007F1991"/>
    <w:rsid w:val="007F2C2F"/>
    <w:rsid w:val="007F55FC"/>
    <w:rsid w:val="007F5665"/>
    <w:rsid w:val="00800112"/>
    <w:rsid w:val="00813348"/>
    <w:rsid w:val="008253BB"/>
    <w:rsid w:val="00833962"/>
    <w:rsid w:val="0083706E"/>
    <w:rsid w:val="00840894"/>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0E6"/>
    <w:rsid w:val="00C61BFC"/>
    <w:rsid w:val="00C62B85"/>
    <w:rsid w:val="00C65438"/>
    <w:rsid w:val="00C91CBB"/>
    <w:rsid w:val="00CB4E70"/>
    <w:rsid w:val="00CC09B6"/>
    <w:rsid w:val="00CC4F98"/>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018B"/>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1BFC"/>
    <w:rsid w:val="00FA23E8"/>
    <w:rsid w:val="00FD3CC1"/>
    <w:rsid w:val="00FF1E02"/>
    <w:rsid w:val="00FF30B4"/>
    <w:rsid w:val="02465C46"/>
    <w:rsid w:val="024A5757"/>
    <w:rsid w:val="04BD5E0B"/>
    <w:rsid w:val="05F10801"/>
    <w:rsid w:val="06047149"/>
    <w:rsid w:val="06177A0C"/>
    <w:rsid w:val="07DE3A2D"/>
    <w:rsid w:val="07E30324"/>
    <w:rsid w:val="10513385"/>
    <w:rsid w:val="10C055FF"/>
    <w:rsid w:val="10EC7881"/>
    <w:rsid w:val="118649FC"/>
    <w:rsid w:val="12573C04"/>
    <w:rsid w:val="129738E1"/>
    <w:rsid w:val="16BB723D"/>
    <w:rsid w:val="17646037"/>
    <w:rsid w:val="17CD4227"/>
    <w:rsid w:val="18E50FED"/>
    <w:rsid w:val="190B107C"/>
    <w:rsid w:val="1934520E"/>
    <w:rsid w:val="19833E90"/>
    <w:rsid w:val="19C77693"/>
    <w:rsid w:val="1AA45714"/>
    <w:rsid w:val="1C2420A6"/>
    <w:rsid w:val="21560D2D"/>
    <w:rsid w:val="238E16C7"/>
    <w:rsid w:val="240371BF"/>
    <w:rsid w:val="25294CDD"/>
    <w:rsid w:val="25461F18"/>
    <w:rsid w:val="25C23BA0"/>
    <w:rsid w:val="26371BB4"/>
    <w:rsid w:val="26396DAE"/>
    <w:rsid w:val="268470C8"/>
    <w:rsid w:val="28B45006"/>
    <w:rsid w:val="29251A2B"/>
    <w:rsid w:val="29FD04D3"/>
    <w:rsid w:val="2B2B41B9"/>
    <w:rsid w:val="2D194BE6"/>
    <w:rsid w:val="2D254EE4"/>
    <w:rsid w:val="2D400EB3"/>
    <w:rsid w:val="2F637FCE"/>
    <w:rsid w:val="313F1D92"/>
    <w:rsid w:val="317C35EC"/>
    <w:rsid w:val="319F7F4E"/>
    <w:rsid w:val="3209246F"/>
    <w:rsid w:val="32265868"/>
    <w:rsid w:val="32575F62"/>
    <w:rsid w:val="3304575D"/>
    <w:rsid w:val="340929FA"/>
    <w:rsid w:val="369C0B39"/>
    <w:rsid w:val="36BB0550"/>
    <w:rsid w:val="3705791D"/>
    <w:rsid w:val="373D1814"/>
    <w:rsid w:val="37F72195"/>
    <w:rsid w:val="37FB298D"/>
    <w:rsid w:val="38226504"/>
    <w:rsid w:val="384F6FE7"/>
    <w:rsid w:val="38AE70D8"/>
    <w:rsid w:val="39101342"/>
    <w:rsid w:val="392036C2"/>
    <w:rsid w:val="3A354798"/>
    <w:rsid w:val="3CBA4860"/>
    <w:rsid w:val="3D956F1C"/>
    <w:rsid w:val="411F1218"/>
    <w:rsid w:val="43572034"/>
    <w:rsid w:val="43A6438E"/>
    <w:rsid w:val="444E705D"/>
    <w:rsid w:val="45593C05"/>
    <w:rsid w:val="47144C14"/>
    <w:rsid w:val="47F3725C"/>
    <w:rsid w:val="48E25506"/>
    <w:rsid w:val="49302B43"/>
    <w:rsid w:val="495E5037"/>
    <w:rsid w:val="4ACD1734"/>
    <w:rsid w:val="4BCC76F1"/>
    <w:rsid w:val="4D550F29"/>
    <w:rsid w:val="4D8F54CF"/>
    <w:rsid w:val="4ECE2238"/>
    <w:rsid w:val="4F9D69C3"/>
    <w:rsid w:val="50055CC1"/>
    <w:rsid w:val="501C6A52"/>
    <w:rsid w:val="516446A6"/>
    <w:rsid w:val="51FD629B"/>
    <w:rsid w:val="52132A4E"/>
    <w:rsid w:val="52297EA4"/>
    <w:rsid w:val="536561FB"/>
    <w:rsid w:val="539518B2"/>
    <w:rsid w:val="53D46581"/>
    <w:rsid w:val="547443C8"/>
    <w:rsid w:val="54996638"/>
    <w:rsid w:val="56900041"/>
    <w:rsid w:val="569F11FA"/>
    <w:rsid w:val="56EF0458"/>
    <w:rsid w:val="595673B7"/>
    <w:rsid w:val="5A7E7F5A"/>
    <w:rsid w:val="5C25362A"/>
    <w:rsid w:val="5CCE2F1D"/>
    <w:rsid w:val="5DE1087E"/>
    <w:rsid w:val="5EF46B29"/>
    <w:rsid w:val="60C53AB1"/>
    <w:rsid w:val="622312C2"/>
    <w:rsid w:val="627154A1"/>
    <w:rsid w:val="62842E61"/>
    <w:rsid w:val="64E83F7B"/>
    <w:rsid w:val="64F33B2D"/>
    <w:rsid w:val="657638D6"/>
    <w:rsid w:val="65AB0A78"/>
    <w:rsid w:val="65DC6B90"/>
    <w:rsid w:val="661F0A34"/>
    <w:rsid w:val="670C02D7"/>
    <w:rsid w:val="6793645B"/>
    <w:rsid w:val="69881F4D"/>
    <w:rsid w:val="6A30369E"/>
    <w:rsid w:val="6A412308"/>
    <w:rsid w:val="6AC338CE"/>
    <w:rsid w:val="6AED2030"/>
    <w:rsid w:val="6C2032A8"/>
    <w:rsid w:val="6C4F2992"/>
    <w:rsid w:val="6D2C0183"/>
    <w:rsid w:val="700D1000"/>
    <w:rsid w:val="72734D90"/>
    <w:rsid w:val="748A620A"/>
    <w:rsid w:val="75CC1A43"/>
    <w:rsid w:val="78386F9B"/>
    <w:rsid w:val="78641221"/>
    <w:rsid w:val="792212CF"/>
    <w:rsid w:val="7961375E"/>
    <w:rsid w:val="7AE827F7"/>
    <w:rsid w:val="7BFC25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4"/>
    <w:next w:val="1"/>
    <w:qFormat/>
    <w:uiPriority w:val="0"/>
    <w:pPr>
      <w:spacing w:before="280" w:after="290"/>
      <w:jc w:val="left"/>
      <w:outlineLvl w:val="3"/>
    </w:pPr>
    <w:rPr>
      <w:rFonts w:ascii="Cambria" w:hAnsi="Cambria" w:eastAsia="仿宋_GB2312"/>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qFormat/>
    <w:uiPriority w:val="0"/>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basedOn w:val="16"/>
    <w:unhideWhenUsed/>
    <w:qFormat/>
    <w:uiPriority w:val="99"/>
    <w:rPr>
      <w:color w:val="0000FF" w:themeColor="hyperlink"/>
      <w:u w:val="single"/>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2"/>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rPr>
  </w:style>
  <w:style w:type="paragraph" w:customStyle="1" w:styleId="36">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7">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8">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98165137614679"/>
          <c:y val="0.0369685767097967"/>
          <c:w val="0.936926605504588"/>
          <c:h val="0.800941018316249"/>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503.73</c:v>
                </c:pt>
                <c:pt idx="1">
                  <c:v>783.66</c:v>
                </c:pt>
              </c:numCache>
            </c:numRef>
          </c:val>
        </c:ser>
        <c:dLbls>
          <c:showLegendKey val="0"/>
          <c:showVal val="1"/>
          <c:showCatName val="0"/>
          <c:showSerName val="0"/>
          <c:showPercent val="0"/>
          <c:showBubbleSize val="0"/>
        </c:dLbls>
        <c:gapWidth val="219"/>
        <c:overlap val="-27"/>
        <c:axId val="134546944"/>
        <c:axId val="134548480"/>
      </c:barChart>
      <c:catAx>
        <c:axId val="134546944"/>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34548480"/>
        <c:crosses val="autoZero"/>
        <c:auto val="1"/>
        <c:lblAlgn val="ctr"/>
        <c:lblOffset val="100"/>
        <c:noMultiLvlLbl val="0"/>
      </c:catAx>
      <c:valAx>
        <c:axId val="13454848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345469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410.2</c:v>
                </c:pt>
                <c:pt idx="1">
                  <c:v>93.53</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dLbl>
              <c:idx val="0"/>
              <c:layout>
                <c:manualLayout>
                  <c:x val="-0.00164194606173949"/>
                  <c:y val="0.14282945736434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37072743207713"/>
                      <c:h val="0.0614341085271318"/>
                    </c:manualLayout>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82.51</c:v>
                </c:pt>
                <c:pt idx="1">
                  <c:v>701.15</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833.14</c:v>
                </c:pt>
                <c:pt idx="1">
                  <c:v>338.79</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503.73</c:v>
                </c:pt>
                <c:pt idx="1">
                  <c:v>783.66</c:v>
                </c:pt>
              </c:numCache>
            </c:numRef>
          </c:val>
        </c:ser>
        <c:dLbls>
          <c:showLegendKey val="0"/>
          <c:showVal val="1"/>
          <c:showCatName val="0"/>
          <c:showSerName val="0"/>
          <c:showPercent val="0"/>
          <c:showBubbleSize val="0"/>
        </c:dLbls>
        <c:gapWidth val="219"/>
        <c:overlap val="-27"/>
        <c:axId val="134714112"/>
        <c:axId val="134715648"/>
      </c:barChart>
      <c:catAx>
        <c:axId val="13471411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34715648"/>
        <c:crosses val="autoZero"/>
        <c:auto val="1"/>
        <c:lblAlgn val="ctr"/>
        <c:lblOffset val="100"/>
        <c:noMultiLvlLbl val="0"/>
      </c:catAx>
      <c:valAx>
        <c:axId val="134715648"/>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347141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98973042362"/>
          <c:y val="0.06877964639931"/>
          <c:w val="0.929396662387676"/>
          <c:h val="0.744588184562311"/>
        </c:manualLayout>
      </c:layout>
      <c:barChart>
        <c:barDir val="col"/>
        <c:grouping val="clustered"/>
        <c:varyColors val="0"/>
        <c:ser>
          <c:idx val="0"/>
          <c:order val="0"/>
          <c:tx>
            <c:strRef>
              <c:f>Sheet1!$B$1</c:f>
              <c:strCache>
                <c:ptCount val="1"/>
                <c:pt idx="0">
                  <c:v>2019</c:v>
                </c:pt>
              </c:strCache>
            </c:strRef>
          </c:tx>
          <c:spPr>
            <a:solidFill>
              <a:srgbClr val="5EB1BF"/>
            </a:solidFill>
            <a:ln>
              <a:noFill/>
            </a:ln>
            <a:effectLst>
              <a:outerShdw blurRad="50800" dist="38100" dir="2700000" algn="tl" rotWithShape="0">
                <a:srgbClr val="5EB1BF">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238.65</c:v>
                </c:pt>
              </c:numCache>
            </c:numRef>
          </c:val>
        </c:ser>
        <c:ser>
          <c:idx val="1"/>
          <c:order val="1"/>
          <c:tx>
            <c:strRef>
              <c:f>Sheet1!$C$1</c:f>
              <c:strCache>
                <c:ptCount val="1"/>
                <c:pt idx="0">
                  <c:v>2020</c:v>
                </c:pt>
              </c:strCache>
            </c:strRef>
          </c:tx>
          <c:spPr>
            <a:solidFill>
              <a:srgbClr val="96DBEC"/>
            </a:solidFill>
            <a:ln>
              <a:noFill/>
            </a:ln>
            <a:effectLst>
              <a:outerShdw blurRad="50800" dist="38100" dir="2700000" algn="tl" rotWithShape="0">
                <a:srgbClr val="96DBEC">
                  <a:alpha val="40000"/>
                </a:srgbClr>
              </a:outerShdw>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690.13</c:v>
                </c:pt>
              </c:numCache>
            </c:numRef>
          </c:val>
        </c:ser>
        <c:dLbls>
          <c:showLegendKey val="0"/>
          <c:showVal val="1"/>
          <c:showCatName val="0"/>
          <c:showSerName val="0"/>
          <c:showPercent val="0"/>
          <c:showBubbleSize val="0"/>
        </c:dLbls>
        <c:gapWidth val="219"/>
        <c:overlap val="-27"/>
        <c:axId val="141832960"/>
        <c:axId val="141834496"/>
      </c:barChart>
      <c:catAx>
        <c:axId val="141832960"/>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1834496"/>
        <c:crosses val="autoZero"/>
        <c:auto val="1"/>
        <c:lblAlgn val="ctr"/>
        <c:lblOffset val="100"/>
        <c:noMultiLvlLbl val="0"/>
      </c:catAx>
      <c:valAx>
        <c:axId val="141834496"/>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418329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dLbl>
              <c:idx val="0"/>
              <c:layout>
                <c:manualLayout>
                  <c:x val="0.145686900958466"/>
                  <c:y val="0.01252272268228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3370607028754"/>
                  <c:y val="0.08341749141587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accent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Sheet1!$B$2:$B$4</c:f>
              <c:numCache>
                <c:formatCode>General</c:formatCode>
                <c:ptCount val="3"/>
                <c:pt idx="0">
                  <c:v>373.08</c:v>
                </c:pt>
                <c:pt idx="1">
                  <c:v>315.44</c:v>
                </c:pt>
                <c:pt idx="2">
                  <c:v>1.61</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农林水支出</c:v>
                </c:pt>
                <c:pt idx="1">
                  <c:v>自然资源海洋气象支出</c:v>
                </c:pt>
                <c:pt idx="2">
                  <c:v>灾害防治及应急管理支出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0.16</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11242</Words>
  <Characters>12262</Characters>
  <Lines>29</Lines>
  <Paragraphs>29</Paragraphs>
  <TotalTime>19</TotalTime>
  <ScaleCrop>false</ScaleCrop>
  <LinksUpToDate>false</LinksUpToDate>
  <CharactersWithSpaces>12422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小小四 </cp:lastModifiedBy>
  <cp:lastPrinted>2020-09-25T01:07:00Z</cp:lastPrinted>
  <dcterms:modified xsi:type="dcterms:W3CDTF">2022-04-13T03:26:58Z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97DD7712610A476F801BEDCDB896477B</vt:lpwstr>
  </property>
</Properties>
</file>