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DD" w:rsidRDefault="001C45DD">
      <w:pPr>
        <w:spacing w:line="600" w:lineRule="exact"/>
        <w:jc w:val="center"/>
        <w:rPr>
          <w:rFonts w:ascii="方正小标宋简体" w:eastAsia="方正小标宋简体" w:hAnsi="宋体"/>
          <w:color w:val="000000"/>
          <w:sz w:val="72"/>
          <w:szCs w:val="72"/>
        </w:rPr>
      </w:pPr>
      <w:bookmarkStart w:id="0" w:name="_Toc15306267"/>
    </w:p>
    <w:p w:rsidR="001C45DD" w:rsidRDefault="001C45DD">
      <w:pPr>
        <w:spacing w:line="600" w:lineRule="exact"/>
        <w:jc w:val="center"/>
        <w:rPr>
          <w:rFonts w:ascii="方正小标宋简体" w:eastAsia="方正小标宋简体" w:hAnsi="宋体"/>
          <w:color w:val="000000"/>
          <w:sz w:val="72"/>
          <w:szCs w:val="72"/>
        </w:rPr>
      </w:pPr>
    </w:p>
    <w:p w:rsidR="001C45DD" w:rsidRDefault="001C45DD">
      <w:pPr>
        <w:spacing w:line="600" w:lineRule="exact"/>
        <w:jc w:val="center"/>
        <w:rPr>
          <w:rFonts w:ascii="方正小标宋简体" w:eastAsia="方正小标宋简体" w:hAnsi="宋体"/>
          <w:color w:val="000000"/>
          <w:sz w:val="72"/>
          <w:szCs w:val="72"/>
        </w:rPr>
      </w:pPr>
    </w:p>
    <w:p w:rsidR="001C45DD" w:rsidRDefault="001C45DD">
      <w:pPr>
        <w:spacing w:line="600" w:lineRule="exact"/>
        <w:jc w:val="center"/>
        <w:rPr>
          <w:rFonts w:ascii="方正小标宋简体" w:eastAsia="方正小标宋简体" w:hAnsi="宋体"/>
          <w:color w:val="000000"/>
          <w:sz w:val="72"/>
          <w:szCs w:val="72"/>
        </w:rPr>
      </w:pPr>
    </w:p>
    <w:p w:rsidR="001C45DD" w:rsidRDefault="00CA7826">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1812"/>
      <w:bookmarkStart w:id="4" w:name="_Toc19671"/>
      <w:bookmarkStart w:id="5" w:name="_Toc15396475"/>
      <w:bookmarkStart w:id="6" w:name="_Toc15377425"/>
      <w:bookmarkStart w:id="7" w:name="_Toc8314"/>
      <w:bookmarkStart w:id="8"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bookmarkEnd w:id="8"/>
    </w:p>
    <w:p w:rsidR="001C45DD" w:rsidRDefault="00CA7826">
      <w:pPr>
        <w:adjustRightInd w:val="0"/>
        <w:snapToGrid w:val="0"/>
        <w:spacing w:line="360" w:lineRule="auto"/>
        <w:jc w:val="center"/>
        <w:outlineLvl w:val="0"/>
        <w:rPr>
          <w:rFonts w:ascii="方正小标宋简体" w:eastAsia="方正小标宋简体" w:hAnsi="宋体"/>
          <w:color w:val="000000"/>
          <w:sz w:val="72"/>
          <w:szCs w:val="72"/>
        </w:rPr>
      </w:pPr>
      <w:bookmarkStart w:id="9" w:name="_Toc26789"/>
      <w:bookmarkStart w:id="10" w:name="_Toc15377194"/>
      <w:bookmarkStart w:id="11" w:name="_Toc16049"/>
      <w:bookmarkStart w:id="12" w:name="_Toc14851"/>
      <w:bookmarkStart w:id="13" w:name="_Toc15378442"/>
      <w:bookmarkStart w:id="14" w:name="_Toc15306268"/>
      <w:bookmarkStart w:id="15" w:name="_Toc15377426"/>
      <w:bookmarkStart w:id="16" w:name="_Toc15396598"/>
      <w:bookmarkStart w:id="17" w:name="_Toc15396476"/>
      <w:bookmarkEnd w:id="0"/>
      <w:r>
        <w:rPr>
          <w:rFonts w:ascii="方正小标宋简体" w:eastAsia="方正小标宋简体" w:hAnsi="宋体" w:hint="eastAsia"/>
          <w:color w:val="000000"/>
          <w:sz w:val="72"/>
          <w:szCs w:val="72"/>
        </w:rPr>
        <w:t>乐山市自然资源局高新区分局部门决算</w:t>
      </w:r>
      <w:bookmarkEnd w:id="9"/>
      <w:bookmarkEnd w:id="10"/>
      <w:bookmarkEnd w:id="11"/>
      <w:bookmarkEnd w:id="12"/>
      <w:bookmarkEnd w:id="13"/>
      <w:bookmarkEnd w:id="14"/>
      <w:bookmarkEnd w:id="15"/>
      <w:bookmarkEnd w:id="16"/>
      <w:bookmarkEnd w:id="17"/>
    </w:p>
    <w:p w:rsidR="001C45DD" w:rsidRDefault="00CA7826">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1C45DD" w:rsidRDefault="001C45DD">
      <w:pPr>
        <w:widowControl/>
        <w:jc w:val="center"/>
        <w:rPr>
          <w:rFonts w:ascii="黑体" w:eastAsia="黑体" w:hAnsi="黑体" w:cstheme="minorBidi"/>
          <w:sz w:val="28"/>
          <w:szCs w:val="28"/>
        </w:rPr>
      </w:pPr>
    </w:p>
    <w:p w:rsidR="001C45DD" w:rsidRDefault="00CA7826">
      <w:pPr>
        <w:pStyle w:val="10"/>
      </w:pPr>
      <w:r>
        <w:rPr>
          <w:rFonts w:hint="eastAsia"/>
        </w:rPr>
        <w:t>公开时间：2020年9月</w:t>
      </w:r>
      <w:r w:rsidR="004D5A09">
        <w:rPr>
          <w:rFonts w:hint="eastAsia"/>
        </w:rPr>
        <w:t>28</w:t>
      </w:r>
      <w:r>
        <w:rPr>
          <w:rFonts w:hint="eastAsia"/>
        </w:rPr>
        <w:t>日</w:t>
      </w:r>
    </w:p>
    <w:sdt>
      <w:sdtPr>
        <w:rPr>
          <w:rFonts w:ascii="宋体" w:hAnsi="宋体"/>
          <w:b/>
          <w:bCs/>
          <w:kern w:val="44"/>
          <w:sz w:val="44"/>
          <w:szCs w:val="44"/>
        </w:rPr>
        <w:id w:val="147454048"/>
        <w:docPartObj>
          <w:docPartGallery w:val="Table of Contents"/>
          <w:docPartUnique/>
        </w:docPartObj>
      </w:sdtPr>
      <w:sdtEndPr>
        <w:rPr>
          <w:rFonts w:ascii="黑体" w:eastAsia="黑体" w:hAnsi="黑体" w:hint="eastAsia"/>
        </w:rPr>
      </w:sdtEndPr>
      <w:sdtContent>
        <w:p w:rsidR="001C45DD" w:rsidRDefault="00CA7826">
          <w:pPr>
            <w:jc w:val="center"/>
          </w:pPr>
          <w:r>
            <w:rPr>
              <w:rFonts w:ascii="宋体" w:hAnsi="宋体"/>
            </w:rPr>
            <w:t>目录</w:t>
          </w:r>
          <w:r w:rsidR="00CC4E77" w:rsidRPr="00CC4E77">
            <w:rPr>
              <w:rFonts w:ascii="黑体" w:eastAsia="黑体" w:hAnsi="黑体" w:hint="eastAsia"/>
            </w:rPr>
            <w:fldChar w:fldCharType="begin"/>
          </w:r>
          <w:r>
            <w:rPr>
              <w:rFonts w:ascii="黑体" w:eastAsia="黑体" w:hAnsi="黑体" w:hint="eastAsia"/>
            </w:rPr>
            <w:instrText xml:space="preserve">TOC \o "1-2" \h \u </w:instrText>
          </w:r>
          <w:r w:rsidR="00CC4E77" w:rsidRPr="00CC4E77">
            <w:rPr>
              <w:rFonts w:ascii="黑体" w:eastAsia="黑体" w:hAnsi="黑体" w:hint="eastAsia"/>
            </w:rPr>
            <w:fldChar w:fldCharType="separate"/>
          </w:r>
        </w:p>
        <w:p w:rsidR="001C45DD" w:rsidRDefault="00CC4E77">
          <w:pPr>
            <w:pStyle w:val="10"/>
            <w:tabs>
              <w:tab w:val="clear" w:pos="8296"/>
              <w:tab w:val="right" w:leader="dot" w:pos="8306"/>
            </w:tabs>
            <w:rPr>
              <w:rFonts w:cs="仿宋"/>
              <w:b/>
              <w:bCs/>
            </w:rPr>
          </w:pPr>
          <w:hyperlink w:anchor="_Toc24764" w:history="1">
            <w:r w:rsidR="00CA7826">
              <w:rPr>
                <w:rFonts w:cs="仿宋" w:hint="eastAsia"/>
                <w:b/>
                <w:bCs/>
              </w:rPr>
              <w:t>第一部分 部门概况</w:t>
            </w:r>
            <w:r w:rsidR="00CA7826">
              <w:rPr>
                <w:rFonts w:cs="仿宋" w:hint="eastAsia"/>
                <w:b/>
                <w:bCs/>
              </w:rPr>
              <w:tab/>
            </w:r>
            <w:r>
              <w:rPr>
                <w:rFonts w:cs="仿宋" w:hint="eastAsia"/>
                <w:b/>
                <w:bCs/>
              </w:rPr>
              <w:fldChar w:fldCharType="begin"/>
            </w:r>
            <w:r w:rsidR="00CA7826">
              <w:rPr>
                <w:rFonts w:cs="仿宋" w:hint="eastAsia"/>
                <w:b/>
                <w:bCs/>
              </w:rPr>
              <w:instrText xml:space="preserve"> PAGEREF _Toc24764 </w:instrText>
            </w:r>
            <w:r>
              <w:rPr>
                <w:rFonts w:cs="仿宋" w:hint="eastAsia"/>
                <w:b/>
                <w:bCs/>
              </w:rPr>
              <w:fldChar w:fldCharType="separate"/>
            </w:r>
            <w:r w:rsidR="00A42F96">
              <w:rPr>
                <w:rFonts w:cs="仿宋"/>
                <w:b/>
                <w:bCs/>
                <w:noProof/>
              </w:rPr>
              <w:t>4</w:t>
            </w:r>
            <w:r>
              <w:rPr>
                <w:rFonts w:cs="仿宋" w:hint="eastAsia"/>
                <w:b/>
                <w:bCs/>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17284" w:history="1">
            <w:r w:rsidR="00CA7826">
              <w:rPr>
                <w:rFonts w:ascii="仿宋" w:eastAsia="仿宋" w:hAnsi="仿宋" w:cs="仿宋" w:hint="eastAsia"/>
                <w:sz w:val="28"/>
                <w:szCs w:val="28"/>
              </w:rPr>
              <w:t>一、基本职能及主要工作</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_Toc17284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4</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13446" w:history="1">
            <w:r w:rsidR="00CA7826">
              <w:rPr>
                <w:rFonts w:ascii="仿宋" w:eastAsia="仿宋" w:hAnsi="仿宋" w:cs="仿宋" w:hint="eastAsia"/>
                <w:sz w:val="28"/>
                <w:szCs w:val="28"/>
              </w:rPr>
              <w:t>二、机构设置</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_Toc13446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9</w:t>
            </w:r>
            <w:r>
              <w:rPr>
                <w:rFonts w:ascii="仿宋" w:eastAsia="仿宋" w:hAnsi="仿宋" w:cs="仿宋" w:hint="eastAsia"/>
                <w:sz w:val="28"/>
                <w:szCs w:val="28"/>
              </w:rPr>
              <w:fldChar w:fldCharType="end"/>
            </w:r>
          </w:hyperlink>
        </w:p>
        <w:p w:rsidR="001C45DD" w:rsidRDefault="00CC4E77">
          <w:pPr>
            <w:pStyle w:val="10"/>
            <w:tabs>
              <w:tab w:val="clear" w:pos="8296"/>
              <w:tab w:val="right" w:leader="dot" w:pos="8306"/>
            </w:tabs>
            <w:rPr>
              <w:rFonts w:cs="仿宋"/>
              <w:b/>
              <w:bCs/>
            </w:rPr>
          </w:pPr>
          <w:hyperlink w:anchor="_Toc31455" w:history="1">
            <w:r w:rsidR="00CA7826">
              <w:rPr>
                <w:rFonts w:cs="仿宋" w:hint="eastAsia"/>
                <w:b/>
                <w:bCs/>
              </w:rPr>
              <w:t>第二部分 2019年度部门决算情况说明</w:t>
            </w:r>
            <w:r w:rsidR="00CA7826">
              <w:rPr>
                <w:rFonts w:cs="仿宋" w:hint="eastAsia"/>
                <w:b/>
                <w:bCs/>
              </w:rPr>
              <w:tab/>
            </w:r>
            <w:r>
              <w:rPr>
                <w:rFonts w:cs="仿宋" w:hint="eastAsia"/>
                <w:b/>
                <w:bCs/>
              </w:rPr>
              <w:fldChar w:fldCharType="begin"/>
            </w:r>
            <w:r w:rsidR="00CA7826">
              <w:rPr>
                <w:rFonts w:cs="仿宋" w:hint="eastAsia"/>
                <w:b/>
                <w:bCs/>
              </w:rPr>
              <w:instrText xml:space="preserve"> PAGEREF _Toc31455 </w:instrText>
            </w:r>
            <w:r>
              <w:rPr>
                <w:rFonts w:cs="仿宋" w:hint="eastAsia"/>
                <w:b/>
                <w:bCs/>
              </w:rPr>
              <w:fldChar w:fldCharType="separate"/>
            </w:r>
            <w:r w:rsidR="00A42F96">
              <w:rPr>
                <w:rFonts w:cs="仿宋"/>
                <w:b/>
                <w:bCs/>
                <w:noProof/>
              </w:rPr>
              <w:t>10</w:t>
            </w:r>
            <w:r>
              <w:rPr>
                <w:rFonts w:cs="仿宋" w:hint="eastAsia"/>
                <w:b/>
                <w:bCs/>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27493" w:history="1">
            <w:r w:rsidR="00CA7826">
              <w:rPr>
                <w:rFonts w:ascii="仿宋" w:eastAsia="仿宋" w:hAnsi="仿宋" w:cs="仿宋" w:hint="eastAsia"/>
                <w:sz w:val="28"/>
                <w:szCs w:val="28"/>
              </w:rPr>
              <w:t>一、 收入支出决算总体情况说明</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_Toc27493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10</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24595" w:history="1">
            <w:r w:rsidR="00CA7826">
              <w:rPr>
                <w:rFonts w:ascii="仿宋" w:eastAsia="仿宋" w:hAnsi="仿宋" w:cs="仿宋" w:hint="eastAsia"/>
                <w:sz w:val="28"/>
                <w:szCs w:val="28"/>
              </w:rPr>
              <w:t>二、 收入决算情况说明</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_Toc24595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11</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4219" w:history="1">
            <w:r w:rsidR="00CA7826">
              <w:rPr>
                <w:rFonts w:ascii="仿宋" w:eastAsia="仿宋" w:hAnsi="仿宋" w:cs="仿宋" w:hint="eastAsia"/>
                <w:sz w:val="28"/>
                <w:szCs w:val="28"/>
              </w:rPr>
              <w:t>三、 支出决算情况说明</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_Toc4219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11</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15567" w:history="1">
            <w:r w:rsidR="00CA7826">
              <w:rPr>
                <w:rFonts w:ascii="仿宋" w:eastAsia="仿宋" w:hAnsi="仿宋" w:cs="仿宋" w:hint="eastAsia"/>
                <w:sz w:val="28"/>
                <w:szCs w:val="28"/>
              </w:rPr>
              <w:t>四、财政拨款收入支出决算总体情况说明</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_Toc15567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12</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8652" w:history="1">
            <w:r w:rsidR="00CA7826">
              <w:rPr>
                <w:rFonts w:ascii="仿宋" w:eastAsia="仿宋" w:hAnsi="仿宋" w:cs="仿宋" w:hint="eastAsia"/>
                <w:sz w:val="28"/>
                <w:szCs w:val="28"/>
              </w:rPr>
              <w:t>五、一般公共预算财政拨款支出决算情况说明</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_Toc8652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13</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10267" w:history="1">
            <w:r w:rsidR="00CA7826">
              <w:rPr>
                <w:rFonts w:ascii="仿宋" w:eastAsia="仿宋" w:hAnsi="仿宋" w:cs="仿宋" w:hint="eastAsia"/>
                <w:sz w:val="28"/>
                <w:szCs w:val="28"/>
              </w:rPr>
              <w:t>六、一般公共预算财政拨款基本支出决算情况说明</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_Toc10267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16</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774" w:history="1">
            <w:r w:rsidR="00CA7826">
              <w:rPr>
                <w:rFonts w:ascii="仿宋" w:eastAsia="仿宋" w:hAnsi="仿宋" w:cs="仿宋" w:hint="eastAsia"/>
                <w:sz w:val="28"/>
                <w:szCs w:val="28"/>
              </w:rPr>
              <w:t>七、“三公”经费财政拨款支出决算情况说明</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_Toc774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16</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16298" w:history="1">
            <w:r w:rsidR="00CA7826">
              <w:rPr>
                <w:rFonts w:ascii="仿宋" w:eastAsia="仿宋" w:hAnsi="仿宋" w:cs="仿宋" w:hint="eastAsia"/>
                <w:sz w:val="28"/>
                <w:szCs w:val="28"/>
              </w:rPr>
              <w:t>八、政府性基金预算支出决算情况说明</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_Toc16298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18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7360" w:history="1">
            <w:r w:rsidR="00CA7826">
              <w:rPr>
                <w:rFonts w:ascii="仿宋" w:eastAsia="仿宋" w:hAnsi="仿宋" w:cs="仿宋" w:hint="eastAsia"/>
                <w:sz w:val="28"/>
                <w:szCs w:val="28"/>
              </w:rPr>
              <w:t>九、 国有资本经营预算支出决算情况说明</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_Toc7360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18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6892" w:history="1">
            <w:r w:rsidR="00CA7826">
              <w:rPr>
                <w:rFonts w:ascii="仿宋" w:eastAsia="仿宋" w:hAnsi="仿宋" w:cs="仿宋" w:hint="eastAsia"/>
                <w:sz w:val="28"/>
                <w:szCs w:val="28"/>
              </w:rPr>
              <w:t>十、其他重要事项的情况说明</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_Toc6892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18</w:t>
            </w:r>
            <w:r>
              <w:rPr>
                <w:rFonts w:ascii="仿宋" w:eastAsia="仿宋" w:hAnsi="仿宋" w:cs="仿宋" w:hint="eastAsia"/>
                <w:sz w:val="28"/>
                <w:szCs w:val="28"/>
              </w:rPr>
              <w:fldChar w:fldCharType="end"/>
            </w:r>
          </w:hyperlink>
        </w:p>
        <w:p w:rsidR="001C45DD" w:rsidRDefault="00CC4E77">
          <w:pPr>
            <w:pStyle w:val="10"/>
            <w:tabs>
              <w:tab w:val="clear" w:pos="8296"/>
              <w:tab w:val="right" w:leader="dot" w:pos="8306"/>
            </w:tabs>
            <w:rPr>
              <w:rFonts w:cs="仿宋"/>
              <w:b/>
              <w:bCs/>
            </w:rPr>
          </w:pPr>
          <w:hyperlink w:anchor="_Toc13519" w:history="1">
            <w:r w:rsidR="00CA7826">
              <w:rPr>
                <w:rFonts w:cs="仿宋" w:hint="eastAsia"/>
                <w:b/>
                <w:bCs/>
              </w:rPr>
              <w:t>第三部分 名词解释</w:t>
            </w:r>
            <w:r w:rsidR="00CA7826">
              <w:rPr>
                <w:rFonts w:cs="仿宋" w:hint="eastAsia"/>
                <w:b/>
                <w:bCs/>
              </w:rPr>
              <w:tab/>
            </w:r>
            <w:r>
              <w:rPr>
                <w:rFonts w:cs="仿宋" w:hint="eastAsia"/>
                <w:b/>
                <w:bCs/>
              </w:rPr>
              <w:fldChar w:fldCharType="begin"/>
            </w:r>
            <w:r w:rsidR="00CA7826">
              <w:rPr>
                <w:rFonts w:cs="仿宋" w:hint="eastAsia"/>
                <w:b/>
                <w:bCs/>
              </w:rPr>
              <w:instrText xml:space="preserve"> PAGEREF _Toc13519 </w:instrText>
            </w:r>
            <w:r>
              <w:rPr>
                <w:rFonts w:cs="仿宋" w:hint="eastAsia"/>
                <w:b/>
                <w:bCs/>
              </w:rPr>
              <w:fldChar w:fldCharType="separate"/>
            </w:r>
            <w:r w:rsidR="00A42F96">
              <w:rPr>
                <w:rFonts w:cs="仿宋"/>
                <w:b/>
                <w:bCs/>
                <w:noProof/>
              </w:rPr>
              <w:t>29</w:t>
            </w:r>
            <w:r>
              <w:rPr>
                <w:rFonts w:cs="仿宋" w:hint="eastAsia"/>
                <w:b/>
                <w:bCs/>
              </w:rPr>
              <w:fldChar w:fldCharType="end"/>
            </w:r>
          </w:hyperlink>
        </w:p>
        <w:p w:rsidR="001C45DD" w:rsidRDefault="00CC4E77">
          <w:pPr>
            <w:pStyle w:val="10"/>
            <w:tabs>
              <w:tab w:val="clear" w:pos="8296"/>
              <w:tab w:val="right" w:leader="dot" w:pos="8306"/>
            </w:tabs>
            <w:rPr>
              <w:rFonts w:cs="仿宋"/>
              <w:b/>
              <w:bCs/>
            </w:rPr>
          </w:pPr>
          <w:hyperlink w:anchor="_Toc27614" w:history="1">
            <w:r w:rsidR="00CA7826">
              <w:rPr>
                <w:rFonts w:cs="仿宋" w:hint="eastAsia"/>
                <w:b/>
                <w:bCs/>
              </w:rPr>
              <w:t>第四部分 附件</w:t>
            </w:r>
            <w:r w:rsidR="00CA7826">
              <w:rPr>
                <w:rFonts w:cs="仿宋" w:hint="eastAsia"/>
                <w:b/>
                <w:bCs/>
              </w:rPr>
              <w:tab/>
            </w:r>
            <w:r>
              <w:rPr>
                <w:rFonts w:cs="仿宋" w:hint="eastAsia"/>
                <w:b/>
                <w:bCs/>
              </w:rPr>
              <w:fldChar w:fldCharType="begin"/>
            </w:r>
            <w:r w:rsidR="00CA7826">
              <w:rPr>
                <w:rFonts w:cs="仿宋" w:hint="eastAsia"/>
                <w:b/>
                <w:bCs/>
              </w:rPr>
              <w:instrText xml:space="preserve"> PAGEREF _Toc27614 </w:instrText>
            </w:r>
            <w:r>
              <w:rPr>
                <w:rFonts w:cs="仿宋" w:hint="eastAsia"/>
                <w:b/>
                <w:bCs/>
              </w:rPr>
              <w:fldChar w:fldCharType="separate"/>
            </w:r>
            <w:r w:rsidR="00A42F96">
              <w:rPr>
                <w:rFonts w:cs="仿宋"/>
                <w:b/>
                <w:bCs/>
                <w:noProof/>
              </w:rPr>
              <w:t>33</w:t>
            </w:r>
            <w:r>
              <w:rPr>
                <w:rFonts w:cs="仿宋" w:hint="eastAsia"/>
                <w:b/>
                <w:bCs/>
              </w:rPr>
              <w:fldChar w:fldCharType="end"/>
            </w:r>
          </w:hyperlink>
        </w:p>
        <w:p w:rsidR="001C45DD" w:rsidRDefault="00CC4E77">
          <w:pPr>
            <w:pStyle w:val="10"/>
            <w:tabs>
              <w:tab w:val="clear" w:pos="8296"/>
              <w:tab w:val="right" w:leader="dot" w:pos="8306"/>
            </w:tabs>
            <w:rPr>
              <w:rFonts w:cs="仿宋"/>
            </w:rPr>
          </w:pPr>
          <w:hyperlink w:anchor="_Toc12984" w:history="1">
            <w:r w:rsidR="00CA7826">
              <w:rPr>
                <w:rFonts w:cs="仿宋" w:hint="eastAsia"/>
                <w:b/>
                <w:bCs/>
              </w:rPr>
              <w:t>附件1</w:t>
            </w:r>
            <w:r w:rsidR="00CA7826">
              <w:rPr>
                <w:rFonts w:cs="仿宋" w:hint="eastAsia"/>
                <w:b/>
                <w:bCs/>
              </w:rPr>
              <w:tab/>
            </w:r>
            <w:r>
              <w:rPr>
                <w:rFonts w:cs="仿宋" w:hint="eastAsia"/>
                <w:b/>
                <w:bCs/>
              </w:rPr>
              <w:fldChar w:fldCharType="begin"/>
            </w:r>
            <w:r w:rsidR="00CA7826">
              <w:rPr>
                <w:rFonts w:cs="仿宋" w:hint="eastAsia"/>
                <w:b/>
                <w:bCs/>
              </w:rPr>
              <w:instrText xml:space="preserve"> PAGEREF _Toc12984 </w:instrText>
            </w:r>
            <w:r>
              <w:rPr>
                <w:rFonts w:cs="仿宋" w:hint="eastAsia"/>
                <w:b/>
                <w:bCs/>
              </w:rPr>
              <w:fldChar w:fldCharType="separate"/>
            </w:r>
            <w:r w:rsidR="00A42F96">
              <w:rPr>
                <w:rFonts w:cs="仿宋"/>
                <w:b/>
                <w:bCs/>
                <w:noProof/>
              </w:rPr>
              <w:t>33</w:t>
            </w:r>
            <w:r>
              <w:rPr>
                <w:rFonts w:cs="仿宋" w:hint="eastAsia"/>
                <w:b/>
                <w:bCs/>
              </w:rPr>
              <w:fldChar w:fldCharType="end"/>
            </w:r>
          </w:hyperlink>
        </w:p>
        <w:p w:rsidR="001C45DD" w:rsidRDefault="00CC4E77">
          <w:pPr>
            <w:pStyle w:val="10"/>
            <w:tabs>
              <w:tab w:val="clear" w:pos="8296"/>
              <w:tab w:val="right" w:leader="dot" w:pos="8306"/>
            </w:tabs>
            <w:rPr>
              <w:rFonts w:cs="仿宋"/>
              <w:b/>
              <w:bCs/>
            </w:rPr>
          </w:pPr>
          <w:hyperlink w:anchor="_Toc27532" w:history="1">
            <w:r w:rsidR="00CA7826">
              <w:rPr>
                <w:rFonts w:cs="仿宋" w:hint="eastAsia"/>
                <w:b/>
                <w:bCs/>
              </w:rPr>
              <w:t>第五部分 附表</w:t>
            </w:r>
            <w:r w:rsidR="00CA7826">
              <w:rPr>
                <w:rFonts w:cs="仿宋" w:hint="eastAsia"/>
                <w:b/>
                <w:bCs/>
              </w:rPr>
              <w:tab/>
            </w:r>
            <w:r>
              <w:rPr>
                <w:rFonts w:cs="仿宋" w:hint="eastAsia"/>
                <w:b/>
                <w:bCs/>
              </w:rPr>
              <w:fldChar w:fldCharType="begin"/>
            </w:r>
            <w:r w:rsidR="00CA7826">
              <w:rPr>
                <w:rFonts w:cs="仿宋" w:hint="eastAsia"/>
                <w:b/>
                <w:bCs/>
              </w:rPr>
              <w:instrText xml:space="preserve"> PAGEREF _Toc27532 </w:instrText>
            </w:r>
            <w:r>
              <w:rPr>
                <w:rFonts w:cs="仿宋" w:hint="eastAsia"/>
                <w:b/>
                <w:bCs/>
              </w:rPr>
              <w:fldChar w:fldCharType="separate"/>
            </w:r>
            <w:r w:rsidR="00A42F96">
              <w:rPr>
                <w:rFonts w:cs="仿宋"/>
                <w:b/>
                <w:bCs/>
                <w:noProof/>
              </w:rPr>
              <w:t>38</w:t>
            </w:r>
            <w:r>
              <w:rPr>
                <w:rFonts w:cs="仿宋" w:hint="eastAsia"/>
                <w:b/>
                <w:bCs/>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10590" w:history="1">
            <w:r w:rsidR="00CA7826">
              <w:rPr>
                <w:rFonts w:ascii="仿宋" w:eastAsia="仿宋" w:hAnsi="仿宋" w:cs="仿宋" w:hint="eastAsia"/>
                <w:sz w:val="28"/>
                <w:szCs w:val="28"/>
              </w:rPr>
              <w:t>一、收入支出决算总表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_Toc10590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15557" w:history="1">
            <w:r w:rsidR="00CA7826">
              <w:rPr>
                <w:rFonts w:ascii="仿宋" w:eastAsia="仿宋" w:hAnsi="仿宋" w:cs="仿宋" w:hint="eastAsia"/>
                <w:sz w:val="28"/>
                <w:szCs w:val="28"/>
              </w:rPr>
              <w:t>二、收入决算表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_Toc15557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3753" w:history="1">
            <w:r w:rsidR="00CA7826">
              <w:rPr>
                <w:rFonts w:ascii="仿宋" w:eastAsia="仿宋" w:hAnsi="仿宋" w:cs="仿宋" w:hint="eastAsia"/>
                <w:sz w:val="28"/>
                <w:szCs w:val="28"/>
              </w:rPr>
              <w:t>三、支出决算表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_Toc3753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23715" w:history="1">
            <w:r w:rsidR="00CA7826">
              <w:rPr>
                <w:rFonts w:ascii="仿宋" w:eastAsia="仿宋" w:hAnsi="仿宋" w:cs="仿宋" w:hint="eastAsia"/>
                <w:sz w:val="28"/>
                <w:szCs w:val="28"/>
              </w:rPr>
              <w:t>四、财政拨款收入支出决算总表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_Toc23715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12278" w:history="1">
            <w:r w:rsidR="00CA7826">
              <w:rPr>
                <w:rFonts w:ascii="仿宋" w:eastAsia="仿宋" w:hAnsi="仿宋" w:cs="仿宋" w:hint="eastAsia"/>
                <w:sz w:val="28"/>
                <w:szCs w:val="28"/>
              </w:rPr>
              <w:t>五、财政拨款支出决算明细表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_Toc12278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9637" w:history="1">
            <w:r w:rsidR="00CA7826">
              <w:rPr>
                <w:rFonts w:ascii="仿宋" w:eastAsia="仿宋" w:hAnsi="仿宋" w:cs="仿宋" w:hint="eastAsia"/>
                <w:sz w:val="28"/>
                <w:szCs w:val="28"/>
              </w:rPr>
              <w:t>六、一般公共预算财政拨款支出决算表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_Toc9637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16212" w:history="1">
            <w:r w:rsidR="00CA7826">
              <w:rPr>
                <w:rFonts w:ascii="仿宋" w:eastAsia="仿宋" w:hAnsi="仿宋" w:cs="仿宋" w:hint="eastAsia"/>
                <w:sz w:val="28"/>
                <w:szCs w:val="28"/>
              </w:rPr>
              <w:t>七、一般公共预算财政拨款支出决算明细表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_Toc16212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25860" w:history="1">
            <w:r w:rsidR="00CA7826">
              <w:rPr>
                <w:rFonts w:ascii="仿宋" w:eastAsia="仿宋" w:hAnsi="仿宋" w:cs="仿宋" w:hint="eastAsia"/>
                <w:sz w:val="28"/>
                <w:szCs w:val="28"/>
              </w:rPr>
              <w:t>八、一般公共预算财政拨款基本支出决算表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_Toc25860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13039" w:history="1">
            <w:r w:rsidR="00CA7826">
              <w:rPr>
                <w:rFonts w:ascii="仿宋" w:eastAsia="仿宋" w:hAnsi="仿宋" w:cs="仿宋" w:hint="eastAsia"/>
                <w:sz w:val="28"/>
                <w:szCs w:val="28"/>
              </w:rPr>
              <w:t>九、一般公共预算财政拨款项目支出决算表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_Toc13039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1708" w:history="1">
            <w:r w:rsidR="00CA7826">
              <w:rPr>
                <w:rFonts w:ascii="仿宋" w:eastAsia="仿宋" w:hAnsi="仿宋" w:cs="仿宋" w:hint="eastAsia"/>
                <w:sz w:val="28"/>
                <w:szCs w:val="28"/>
              </w:rPr>
              <w:t>十、一般公共预算财政拨款“三公”经费支出决算表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_Toc1708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9135" w:history="1">
            <w:r w:rsidR="00CA7826">
              <w:rPr>
                <w:rFonts w:ascii="仿宋" w:eastAsia="仿宋" w:hAnsi="仿宋" w:cs="仿宋" w:hint="eastAsia"/>
                <w:sz w:val="28"/>
                <w:szCs w:val="28"/>
              </w:rPr>
              <w:t>十一、政府性基金预算财政拨款收入支出决算表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_Toc9135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20964" w:history="1">
            <w:r w:rsidR="00CA7826">
              <w:rPr>
                <w:rFonts w:ascii="仿宋" w:eastAsia="仿宋" w:hAnsi="仿宋" w:cs="仿宋" w:hint="eastAsia"/>
                <w:sz w:val="28"/>
                <w:szCs w:val="28"/>
              </w:rPr>
              <w:t>十二、政府性基金预算财政拨款“三公”经费支出决算表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_Toc20964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20"/>
            <w:tabs>
              <w:tab w:val="clear" w:pos="8296"/>
              <w:tab w:val="right" w:leader="dot" w:pos="8306"/>
            </w:tabs>
            <w:rPr>
              <w:rFonts w:ascii="仿宋" w:eastAsia="仿宋" w:hAnsi="仿宋" w:cs="仿宋"/>
              <w:sz w:val="28"/>
              <w:szCs w:val="28"/>
            </w:rPr>
          </w:pPr>
          <w:hyperlink w:anchor="_Toc3511" w:history="1">
            <w:r w:rsidR="00CA7826">
              <w:rPr>
                <w:rFonts w:ascii="仿宋" w:eastAsia="仿宋" w:hAnsi="仿宋" w:cs="仿宋" w:hint="eastAsia"/>
                <w:sz w:val="28"/>
                <w:szCs w:val="28"/>
              </w:rPr>
              <w:t>十三、国有资本经营预算支出决算表</w:t>
            </w:r>
            <w:r w:rsidR="00CA7826">
              <w:rPr>
                <w:rFonts w:ascii="仿宋" w:eastAsia="仿宋" w:hAnsi="仿宋" w:cs="仿宋" w:hint="eastAsia"/>
                <w:sz w:val="28"/>
                <w:szCs w:val="28"/>
              </w:rPr>
              <w:tab/>
            </w:r>
            <w:r>
              <w:rPr>
                <w:rFonts w:ascii="仿宋" w:eastAsia="仿宋" w:hAnsi="仿宋" w:cs="仿宋" w:hint="eastAsia"/>
                <w:sz w:val="28"/>
                <w:szCs w:val="28"/>
              </w:rPr>
              <w:fldChar w:fldCharType="begin"/>
            </w:r>
            <w:r w:rsidR="00CA7826">
              <w:rPr>
                <w:rFonts w:ascii="仿宋" w:eastAsia="仿宋" w:hAnsi="仿宋" w:cs="仿宋" w:hint="eastAsia"/>
                <w:sz w:val="28"/>
                <w:szCs w:val="28"/>
              </w:rPr>
              <w:instrText xml:space="preserve"> PAGEREF _Toc3511 </w:instrText>
            </w:r>
            <w:r>
              <w:rPr>
                <w:rFonts w:ascii="仿宋" w:eastAsia="仿宋" w:hAnsi="仿宋" w:cs="仿宋" w:hint="eastAsia"/>
                <w:sz w:val="28"/>
                <w:szCs w:val="28"/>
              </w:rPr>
              <w:fldChar w:fldCharType="separate"/>
            </w:r>
            <w:r w:rsidR="00A42F96">
              <w:rPr>
                <w:rFonts w:ascii="仿宋" w:eastAsia="仿宋" w:hAnsi="仿宋" w:cs="仿宋"/>
                <w:noProof/>
                <w:sz w:val="28"/>
                <w:szCs w:val="28"/>
              </w:rPr>
              <w:t>38</w:t>
            </w:r>
            <w:r>
              <w:rPr>
                <w:rFonts w:ascii="仿宋" w:eastAsia="仿宋" w:hAnsi="仿宋" w:cs="仿宋" w:hint="eastAsia"/>
                <w:sz w:val="28"/>
                <w:szCs w:val="28"/>
              </w:rPr>
              <w:fldChar w:fldCharType="end"/>
            </w:r>
          </w:hyperlink>
        </w:p>
        <w:p w:rsidR="001C45DD" w:rsidRDefault="00CC4E77">
          <w:pPr>
            <w:pStyle w:val="1"/>
            <w:jc w:val="center"/>
            <w:rPr>
              <w:rFonts w:ascii="黑体" w:eastAsia="黑体" w:hAnsi="黑体"/>
              <w:b w:val="0"/>
            </w:rPr>
          </w:pPr>
          <w:r>
            <w:rPr>
              <w:rFonts w:ascii="黑体" w:eastAsia="黑体" w:hAnsi="黑体" w:hint="eastAsia"/>
            </w:rPr>
            <w:fldChar w:fldCharType="end"/>
          </w:r>
        </w:p>
      </w:sdtContent>
    </w:sdt>
    <w:p w:rsidR="001C45DD" w:rsidRDefault="001C45DD">
      <w:pPr>
        <w:pStyle w:val="1"/>
        <w:jc w:val="center"/>
        <w:rPr>
          <w:rFonts w:ascii="黑体" w:eastAsia="黑体" w:hAnsi="黑体"/>
          <w:b w:val="0"/>
        </w:rPr>
      </w:pPr>
    </w:p>
    <w:p w:rsidR="001C45DD" w:rsidRDefault="001C45DD">
      <w:pPr>
        <w:pStyle w:val="1"/>
        <w:rPr>
          <w:rFonts w:ascii="黑体" w:eastAsia="黑体" w:hAnsi="黑体"/>
          <w:b w:val="0"/>
        </w:rPr>
      </w:pPr>
    </w:p>
    <w:p w:rsidR="001C45DD" w:rsidRDefault="001C45DD">
      <w:pPr>
        <w:rPr>
          <w:rFonts w:ascii="黑体" w:eastAsia="黑体" w:hAnsi="黑体"/>
        </w:rPr>
      </w:pPr>
    </w:p>
    <w:p w:rsidR="001C45DD" w:rsidRDefault="001C45DD">
      <w:pPr>
        <w:rPr>
          <w:rFonts w:ascii="黑体" w:eastAsia="黑体" w:hAnsi="黑体"/>
        </w:rPr>
      </w:pPr>
    </w:p>
    <w:p w:rsidR="001C45DD" w:rsidRDefault="001C45DD">
      <w:pPr>
        <w:rPr>
          <w:rFonts w:ascii="黑体" w:eastAsia="黑体" w:hAnsi="黑体"/>
        </w:rPr>
      </w:pPr>
    </w:p>
    <w:p w:rsidR="001C45DD" w:rsidRDefault="001C45DD"/>
    <w:p w:rsidR="001C45DD" w:rsidRDefault="001C45DD"/>
    <w:p w:rsidR="001C45DD" w:rsidRDefault="00CA7826">
      <w:pPr>
        <w:pStyle w:val="1"/>
        <w:jc w:val="center"/>
        <w:rPr>
          <w:rFonts w:ascii="黑体" w:eastAsia="黑体" w:hAnsi="黑体" w:cs="黑体"/>
          <w:b w:val="0"/>
          <w:bCs w:val="0"/>
        </w:rPr>
      </w:pPr>
      <w:bookmarkStart w:id="18" w:name="_Toc24764"/>
      <w:r>
        <w:rPr>
          <w:rFonts w:ascii="黑体" w:eastAsia="黑体" w:hAnsi="黑体" w:cs="黑体" w:hint="eastAsia"/>
          <w:b w:val="0"/>
          <w:bCs w:val="0"/>
        </w:rPr>
        <w:lastRenderedPageBreak/>
        <w:t>第一部分 部门概况</w:t>
      </w:r>
      <w:bookmarkEnd w:id="18"/>
    </w:p>
    <w:p w:rsidR="001C45DD" w:rsidRDefault="00CA7826">
      <w:pPr>
        <w:pStyle w:val="2"/>
        <w:rPr>
          <w:rFonts w:ascii="黑体" w:eastAsia="黑体" w:hAnsi="黑体" w:cs="黑体"/>
          <w:b w:val="0"/>
          <w:bCs w:val="0"/>
        </w:rPr>
      </w:pPr>
      <w:bookmarkStart w:id="19" w:name="_Toc17284"/>
      <w:bookmarkStart w:id="20" w:name="_Toc15396600"/>
      <w:bookmarkStart w:id="21" w:name="_Toc15377197"/>
      <w:bookmarkStart w:id="22" w:name="_Toc3935"/>
      <w:r>
        <w:rPr>
          <w:rFonts w:ascii="黑体" w:eastAsia="黑体" w:hAnsi="黑体" w:cs="黑体" w:hint="eastAsia"/>
          <w:b w:val="0"/>
          <w:bCs w:val="0"/>
        </w:rPr>
        <w:t>一、基本职能及主要工作</w:t>
      </w:r>
      <w:bookmarkEnd w:id="19"/>
      <w:bookmarkEnd w:id="20"/>
      <w:bookmarkEnd w:id="21"/>
      <w:bookmarkEnd w:id="22"/>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3" w:name="_Toc15377198"/>
      <w:bookmarkStart w:id="24" w:name="_Toc15378445"/>
      <w:r>
        <w:rPr>
          <w:rFonts w:ascii="仿宋" w:eastAsia="仿宋" w:hAnsi="仿宋" w:hint="eastAsia"/>
          <w:bCs/>
          <w:color w:val="000000"/>
          <w:sz w:val="32"/>
          <w:szCs w:val="32"/>
        </w:rPr>
        <w:t>（一）主要职能。</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1.按照规定权限，履行全民所有土地、矿产、森林、湿地、水等自然资源资产所有者职责和所有国土空间用途管制职责，执行省、市自然资源和国土空间规划的规范性文件，执行有关政策措施。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2.负责全区自然资源调查、陆生野生动植物资源动态监测评价，依照自然资源调查监测评价的指标体系和统计标准，贯彻落实自然资源调查监测评价制度，实施自然资源基础调查、专项调查和监测、推进区内林业和园林数字化建设，负责自然资源调查监测评价成果的监督管理和信息发布。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3.负责全区自然资源统一确权登记工作。组织实施各类自然资源和不动产统一确权登记、权籍调查、不动产测绘、争议调处、成果应用的制度、标准、规范。建立健全自然资源和不动产登记信息管理基础平台，负责自然资源和不动产登记资料收集整理、共享、汇交管理等。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4.负责全区自然资源资产有偿使用工作。负责全民所有自然资源资产核算，编制全民所有自然资源资产负债表。落实全民所有自然资源资产划拨、出让、租赁、作价出资和土地储备政策，合理配置全民所有自然资源资产。负责自然资</w:t>
      </w:r>
      <w:r>
        <w:rPr>
          <w:rFonts w:ascii="仿宋" w:eastAsia="仿宋" w:hAnsi="仿宋" w:hint="eastAsia"/>
          <w:bCs/>
          <w:color w:val="000000"/>
          <w:sz w:val="32"/>
          <w:szCs w:val="32"/>
        </w:rPr>
        <w:lastRenderedPageBreak/>
        <w:t xml:space="preserve">源资产价值评估管理，依法收缴相关资产收益。负责天然林、退耕还林保护工作，组织实施林业重点生态保护修复工程。指导、监督公益林和商品林的培育，全民义务植树、城乡绿化工作,组织实施林业有害生物防治工作。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5.负责自然资源的合理开发利用。贯彻执行自然资源发展规划和战略，执行政府公示自然资源价格体系，组织开展自然资源分等定级价格评估，实施节约集约利用。组织实施林木种子资源普查并建立种质资源库，负责推广良种选育推广，管理林木种苗经营行为，监管林木种苗质量,落实研究自然资源管理涉及宏观调控、区域协调和城乡统筹的政策措施。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6.负责建立全区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承担主体功能区规划、土地利用规划、城乡规划等空间规划“多规合一”工作和全区村庄规划编制。实施土地等自然资源年度利用计划,负责土地等国土空间用途转用工作。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7.负责土地林地征收征用管理。负责高新区范围内集体</w:t>
      </w:r>
      <w:r>
        <w:rPr>
          <w:rFonts w:ascii="仿宋" w:eastAsia="仿宋" w:hAnsi="仿宋" w:hint="eastAsia"/>
          <w:bCs/>
          <w:color w:val="000000"/>
          <w:sz w:val="32"/>
          <w:szCs w:val="32"/>
        </w:rPr>
        <w:lastRenderedPageBreak/>
        <w:t xml:space="preserve">土地（不包含大中型水利、水电工程项目）征收补偿安置的管理工作，负责办理农转非社保安置工作，负责征收征用相关政策的宣传解释工作以及指导乡镇做好征收征用工作。配合相关部门做好区内国有土地上房屋征收工作。负责林地和森林采伐管理，承担林地征用、占用和森林资源资产产权变动的监测和报批工作。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8.负责统筹国土空间生态修复。牵头组织编制国土空间生态修复规划并组织实施有关生态修复工程。负责开展国土空间综合整治、土地整理复垦、矿山地质环境恢复治理等工作。牵头实施生态保护补偿制度，落实合理利用社会资金进行生态修复的政策措施。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9.负责组织实施最严格的耕地、林地保护制度。组织实施耕地、林地保护政策，负责耕地和林地数量、质量、生态保护。组织实施耕地保护责任和永久基本农田特殊保护。落实耕地占补平衡制度和占用耕地补偿制度的执行。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10.负责全区地质勘査管理和地质工作。拟订全区地质勘查规划并监督检查执行情况。管理区内地质勘査项目。组织实施重大地质矿产勘查专项。负责地质灾害预防和治理，监督管理地下水过量开采及引发的地面沉降等地质问题。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11.负责落实综合防灾减灾规划相关要求，组织编制全区地质灾害防治和森林火灾防治规划并指导实施。组织、指导、协调地质灾害调查评价及隐患的普查、详査、排査。组</w:t>
      </w:r>
      <w:r>
        <w:rPr>
          <w:rFonts w:ascii="仿宋" w:eastAsia="仿宋" w:hAnsi="仿宋" w:hint="eastAsia"/>
          <w:bCs/>
          <w:color w:val="000000"/>
          <w:sz w:val="32"/>
          <w:szCs w:val="32"/>
        </w:rPr>
        <w:lastRenderedPageBreak/>
        <w:t xml:space="preserve">织、指导开展森林防火群测群防、专业监测、火源管控、防火设施建设和预报预警等工作，组织、指导开展地质灾害工程治理工作。承担地质灾害和森林火灾应急救援的技术保障工作。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12.负责全区矿产资源管理工作。配合做好矿产资源储量管理、矿业权管理。协调指导压覆矿产资源报批。配合做好保护性开采的特定矿种、优势矿产的调控及相关管理工作。做好矿产资源合理利用和保护。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13.负责测绘地理信息管理工作。负责基础测绘和测绘行业管理。负责测绘资质资格、质量、信用管理，监督管理地理信息安全和市场秩序。负责地图管理、地理信息公共服务工作负责测量标志保护。承担全区地理空间数据汇集、共享工作。负责全区航空航天遥感影像数据的统一获取、提供。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14.即时发现、上报全区自然资源开发利用、国土空间规划等领域重大违法线索。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15.做好党风廉政建设、行业作风建设。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16.职能转变。落实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w:t>
      </w:r>
      <w:r>
        <w:rPr>
          <w:rFonts w:ascii="仿宋" w:eastAsia="仿宋" w:hAnsi="仿宋" w:hint="eastAsia"/>
          <w:bCs/>
          <w:color w:val="000000"/>
          <w:sz w:val="32"/>
          <w:szCs w:val="32"/>
        </w:rPr>
        <w:lastRenderedPageBreak/>
        <w:t xml:space="preserve">创新激励与约束并举的制度措施，推进自然资源节约集约利用。充分发挥市场对资源配置的决定性作用，更好发挥政府作用，强化自然资源管理规则、标准、制度的约束性作用，推进自然资源确权登记和评估的便民高效。围绕高质量筑牢长江上游生态屏障，加强森林、湿地监督管理，实施生态系统保护和修复工程。高质量实施森林质量精准提升工程，实现林业生态、经济、社会三大效益。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17.在自然灾害防救方面，配合应急分局做好自然灾害防灾减灾救灾工作。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18.承担征地拆迁办公室的相关工作。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19.完成高新区党工委、管委会交办的其他工作。 </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5" w:name="_Toc15377199"/>
      <w:bookmarkStart w:id="26" w:name="_Toc15378446"/>
      <w:bookmarkEnd w:id="23"/>
      <w:bookmarkEnd w:id="24"/>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25"/>
      <w:bookmarkEnd w:id="26"/>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2019年，我分局在高新区党工委、管委会的正确指导下，坚持“严起来、紧起来、快起来”的工作导向，积极适应新形势新要求，奋力推进各项工作。现将我分局2019年度工作开展情况及2020年工作总结如下：</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1、服务经济增长有力有效。</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①加强土地规划管理。</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②是做好建设项目规划审批工作。</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③及时组织土地报征。</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④加快推进土地供应，提高土地利用率。</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lastRenderedPageBreak/>
        <w:t>⑤顺利完成批而未供和闲置土地处置工作任务。</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⑥积极推进土地储备工作。</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2、保护自然资源尽职尽责。</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①扎实开展高新区第三次全国国土调查工作。</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②落实生态保护任务。</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③加强执法监察和动态巡查监管。</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④扎实开展“大棚房”问题专项清理整治行动。</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⑤扎实开展违建别墅问题清查整治工作。</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⑥认真做好林业管护工作。</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3、维护群众权益尽责到位。</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①狠抓地灾防治。</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②强力推进征地拆迁，确保重大项目落地。</w:t>
      </w:r>
    </w:p>
    <w:p w:rsidR="001C45DD" w:rsidRDefault="00CA782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③严防死守，遏制森林火灾的发生。</w:t>
      </w:r>
    </w:p>
    <w:p w:rsidR="001C45DD" w:rsidRDefault="001C45DD">
      <w:pPr>
        <w:pStyle w:val="a3"/>
        <w:adjustRightInd w:val="0"/>
        <w:snapToGrid w:val="0"/>
        <w:spacing w:before="93" w:line="600" w:lineRule="exact"/>
        <w:ind w:firstLineChars="210" w:firstLine="672"/>
        <w:rPr>
          <w:rFonts w:ascii="仿宋" w:eastAsia="仿宋" w:hAnsi="仿宋"/>
          <w:bCs/>
          <w:color w:val="000000"/>
          <w:sz w:val="32"/>
          <w:szCs w:val="32"/>
        </w:rPr>
      </w:pPr>
    </w:p>
    <w:p w:rsidR="001C45DD" w:rsidRDefault="00CA7826">
      <w:pPr>
        <w:pStyle w:val="2"/>
        <w:rPr>
          <w:rFonts w:ascii="黑体" w:eastAsia="黑体" w:hAnsi="黑体" w:cs="黑体"/>
          <w:b w:val="0"/>
          <w:bCs w:val="0"/>
        </w:rPr>
      </w:pPr>
      <w:bookmarkStart w:id="27" w:name="_Toc15377200"/>
      <w:bookmarkStart w:id="28" w:name="_Toc13446"/>
      <w:bookmarkStart w:id="29" w:name="_Toc25196"/>
      <w:bookmarkStart w:id="30" w:name="_Toc15396601"/>
      <w:r>
        <w:rPr>
          <w:rFonts w:ascii="黑体" w:eastAsia="黑体" w:hAnsi="黑体" w:cs="黑体" w:hint="eastAsia"/>
          <w:b w:val="0"/>
          <w:bCs w:val="0"/>
        </w:rPr>
        <w:t>二、机构设置</w:t>
      </w:r>
      <w:bookmarkEnd w:id="27"/>
      <w:bookmarkEnd w:id="28"/>
      <w:bookmarkEnd w:id="29"/>
      <w:bookmarkEnd w:id="30"/>
    </w:p>
    <w:p w:rsidR="001C45DD" w:rsidRDefault="00CA7826">
      <w:pPr>
        <w:ind w:firstLineChars="250" w:firstLine="800"/>
        <w:rPr>
          <w:rFonts w:ascii="仿宋" w:eastAsia="仿宋" w:hAnsi="仿宋"/>
          <w:sz w:val="32"/>
          <w:szCs w:val="32"/>
        </w:rPr>
      </w:pPr>
      <w:r>
        <w:rPr>
          <w:rFonts w:ascii="仿宋" w:eastAsia="仿宋" w:hAnsi="仿宋" w:hint="eastAsia"/>
          <w:sz w:val="32"/>
          <w:szCs w:val="32"/>
        </w:rPr>
        <w:t>乐山市自然资源局高新区分局(本级)下属二级单位0个，其中行政单位0个，参照公务员法管理的事业单位0个，其他事业单位0个。</w:t>
      </w:r>
    </w:p>
    <w:p w:rsidR="001C45DD" w:rsidRDefault="001C45DD">
      <w:pPr>
        <w:pStyle w:val="a3"/>
        <w:adjustRightInd w:val="0"/>
        <w:snapToGrid w:val="0"/>
        <w:spacing w:before="93" w:line="600" w:lineRule="exact"/>
        <w:ind w:firstLineChars="350" w:firstLine="1120"/>
        <w:rPr>
          <w:rFonts w:ascii="仿宋" w:eastAsia="仿宋" w:hAnsi="仿宋"/>
          <w:color w:val="000000"/>
          <w:sz w:val="32"/>
          <w:szCs w:val="32"/>
        </w:rPr>
      </w:pPr>
    </w:p>
    <w:p w:rsidR="001C45DD" w:rsidRDefault="00CA7826">
      <w:pPr>
        <w:pStyle w:val="1"/>
        <w:jc w:val="center"/>
        <w:rPr>
          <w:rFonts w:ascii="黑体" w:eastAsia="黑体" w:hAnsi="黑体" w:cs="黑体"/>
          <w:b w:val="0"/>
          <w:bCs w:val="0"/>
        </w:rPr>
      </w:pPr>
      <w:bookmarkStart w:id="31" w:name="_Toc31455"/>
      <w:bookmarkStart w:id="32" w:name="_Toc15396602"/>
      <w:bookmarkStart w:id="33" w:name="_Toc16728"/>
      <w:bookmarkStart w:id="34" w:name="_Toc15377204"/>
      <w:r>
        <w:rPr>
          <w:rFonts w:ascii="黑体" w:eastAsia="黑体" w:hAnsi="黑体" w:cs="黑体" w:hint="eastAsia"/>
          <w:b w:val="0"/>
          <w:bCs w:val="0"/>
        </w:rPr>
        <w:lastRenderedPageBreak/>
        <w:t>第二部分 2019年度部门决算情况说明</w:t>
      </w:r>
      <w:bookmarkEnd w:id="31"/>
      <w:bookmarkEnd w:id="32"/>
      <w:bookmarkEnd w:id="33"/>
      <w:bookmarkEnd w:id="34"/>
    </w:p>
    <w:p w:rsidR="001C45DD" w:rsidRDefault="001C45DD"/>
    <w:p w:rsidR="001C45DD" w:rsidRDefault="00CA7826">
      <w:pPr>
        <w:pStyle w:val="2"/>
        <w:rPr>
          <w:rFonts w:ascii="黑体" w:eastAsia="黑体" w:hAnsi="黑体" w:cs="黑体"/>
          <w:b w:val="0"/>
          <w:bCs w:val="0"/>
        </w:rPr>
      </w:pPr>
      <w:bookmarkStart w:id="35" w:name="_Toc15396603"/>
      <w:bookmarkStart w:id="36" w:name="_Toc27493"/>
      <w:bookmarkStart w:id="37" w:name="_Toc22994"/>
      <w:bookmarkStart w:id="38" w:name="_Toc15377205"/>
      <w:r>
        <w:rPr>
          <w:rFonts w:ascii="黑体" w:eastAsia="黑体" w:hAnsi="黑体" w:cs="黑体" w:hint="eastAsia"/>
          <w:b w:val="0"/>
          <w:bCs w:val="0"/>
        </w:rPr>
        <w:t>一、收入支出决算总体情况说明</w:t>
      </w:r>
      <w:bookmarkEnd w:id="35"/>
      <w:bookmarkEnd w:id="36"/>
      <w:bookmarkEnd w:id="37"/>
      <w:bookmarkEnd w:id="38"/>
    </w:p>
    <w:p w:rsidR="001C45DD" w:rsidRDefault="00CA782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2019年度收入总计833.14万元、支出总计338.79万元。与2018年相比，收入总计增加669.99万元，增长410.66%，支出总计各增加175.64万元，增长107.65</w:t>
      </w:r>
      <w:r>
        <w:rPr>
          <w:rFonts w:ascii="仿宋" w:eastAsia="仿宋" w:hAnsi="仿宋"/>
          <w:color w:val="000000"/>
          <w:sz w:val="32"/>
          <w:szCs w:val="32"/>
        </w:rPr>
        <w:t>%</w:t>
      </w:r>
      <w:r>
        <w:rPr>
          <w:rFonts w:ascii="仿宋" w:eastAsia="仿宋" w:hAnsi="仿宋" w:hint="eastAsia"/>
          <w:color w:val="000000"/>
          <w:sz w:val="32"/>
          <w:szCs w:val="32"/>
        </w:rPr>
        <w:t>。主要变动原因是房屋征收补偿局、规划分局合并到我单位新增150万元，新增城乡绿化财返200万元，森林质量提升财返170万元，长江防护林财返150万元，造林补助财返20万元；规划分局、征收补偿局合并到我单位新增170万元。</w:t>
      </w:r>
    </w:p>
    <w:p w:rsidR="001C45DD" w:rsidRDefault="00CA7826">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themeColor="text1"/>
          <w:sz w:val="32"/>
          <w:szCs w:val="32"/>
        </w:rPr>
        <w:drawing>
          <wp:anchor distT="0" distB="0" distL="114300" distR="114300" simplePos="0" relativeHeight="251658240" behindDoc="0" locked="0" layoutInCell="1" allowOverlap="1">
            <wp:simplePos x="0" y="0"/>
            <wp:positionH relativeFrom="column">
              <wp:posOffset>374015</wp:posOffset>
            </wp:positionH>
            <wp:positionV relativeFrom="paragraph">
              <wp:posOffset>222885</wp:posOffset>
            </wp:positionV>
            <wp:extent cx="4088765" cy="3344545"/>
            <wp:effectExtent l="4445" t="4445" r="21590" b="8001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CA7826">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1C45DD" w:rsidRDefault="001C45DD">
      <w:pPr>
        <w:spacing w:line="600" w:lineRule="exact"/>
        <w:ind w:firstLineChars="200" w:firstLine="640"/>
        <w:jc w:val="left"/>
        <w:rPr>
          <w:rFonts w:ascii="仿宋_GB2312" w:eastAsia="仿宋_GB2312"/>
          <w:color w:val="000000"/>
          <w:sz w:val="32"/>
          <w:szCs w:val="32"/>
        </w:rPr>
      </w:pPr>
    </w:p>
    <w:p w:rsidR="001C45DD" w:rsidRDefault="00CA7826">
      <w:pPr>
        <w:pStyle w:val="2"/>
        <w:rPr>
          <w:rFonts w:ascii="黑体" w:eastAsia="黑体" w:hAnsi="黑体" w:cs="黑体"/>
          <w:b w:val="0"/>
          <w:bCs w:val="0"/>
        </w:rPr>
      </w:pPr>
      <w:bookmarkStart w:id="39" w:name="_Toc15396604"/>
      <w:bookmarkStart w:id="40" w:name="_Toc15377206"/>
      <w:bookmarkStart w:id="41" w:name="_Toc24595"/>
      <w:bookmarkStart w:id="42" w:name="_Toc30809"/>
      <w:r>
        <w:rPr>
          <w:rFonts w:ascii="黑体" w:eastAsia="黑体" w:hAnsi="黑体" w:cs="黑体" w:hint="eastAsia"/>
          <w:b w:val="0"/>
          <w:bCs w:val="0"/>
        </w:rPr>
        <w:lastRenderedPageBreak/>
        <w:t>二、收入决算情况说明</w:t>
      </w:r>
      <w:bookmarkEnd w:id="39"/>
      <w:bookmarkEnd w:id="40"/>
      <w:bookmarkEnd w:id="41"/>
      <w:bookmarkEnd w:id="42"/>
    </w:p>
    <w:p w:rsidR="001C45DD" w:rsidRDefault="00CA7826">
      <w:pPr>
        <w:spacing w:line="600" w:lineRule="exact"/>
        <w:ind w:firstLineChars="200" w:firstLine="640"/>
        <w:outlineLvl w:val="1"/>
        <w:rPr>
          <w:rFonts w:ascii="仿宋" w:eastAsia="仿宋" w:hAnsi="仿宋"/>
          <w:color w:val="000000"/>
          <w:sz w:val="32"/>
          <w:szCs w:val="32"/>
        </w:rPr>
      </w:pPr>
      <w:bookmarkStart w:id="43" w:name="_Toc15478"/>
      <w:bookmarkStart w:id="44" w:name="_Toc3539"/>
      <w:bookmarkStart w:id="45" w:name="_Toc12469"/>
      <w:r>
        <w:rPr>
          <w:rFonts w:ascii="仿宋" w:eastAsia="仿宋" w:hAnsi="仿宋"/>
          <w:color w:val="000000"/>
          <w:sz w:val="32"/>
          <w:szCs w:val="32"/>
        </w:rPr>
        <w:t>201</w:t>
      </w:r>
      <w:r>
        <w:rPr>
          <w:rFonts w:ascii="仿宋" w:eastAsia="仿宋" w:hAnsi="仿宋" w:hint="eastAsia"/>
          <w:color w:val="000000"/>
          <w:sz w:val="32"/>
          <w:szCs w:val="32"/>
        </w:rPr>
        <w:t>9年本年收入合计833.14万元，其中：一般公共预算财政拨款收入833.14万元，占100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上级补助收入0</w:t>
      </w:r>
      <w:r>
        <w:rPr>
          <w:rFonts w:ascii="仿宋" w:eastAsia="仿宋" w:hAnsi="仿宋" w:hint="eastAsia"/>
          <w:color w:val="000000"/>
          <w:sz w:val="32"/>
          <w:szCs w:val="32"/>
        </w:rPr>
        <w:t>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bookmarkEnd w:id="43"/>
      <w:bookmarkEnd w:id="44"/>
      <w:bookmarkEnd w:id="45"/>
    </w:p>
    <w:p w:rsidR="001C45DD" w:rsidRDefault="00CA7826">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0288" behindDoc="0" locked="0" layoutInCell="1" allowOverlap="1">
            <wp:simplePos x="0" y="0"/>
            <wp:positionH relativeFrom="column">
              <wp:posOffset>242570</wp:posOffset>
            </wp:positionH>
            <wp:positionV relativeFrom="paragraph">
              <wp:posOffset>196215</wp:posOffset>
            </wp:positionV>
            <wp:extent cx="4633595" cy="3086100"/>
            <wp:effectExtent l="4445" t="4445" r="10160"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CA7826">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1C45DD" w:rsidRDefault="001C45DD">
      <w:pPr>
        <w:spacing w:line="600" w:lineRule="exact"/>
        <w:ind w:firstLineChars="200" w:firstLine="640"/>
        <w:rPr>
          <w:rFonts w:ascii="仿宋_GB2312" w:eastAsia="仿宋_GB2312"/>
          <w:color w:val="FF0000"/>
          <w:sz w:val="32"/>
          <w:szCs w:val="32"/>
        </w:rPr>
      </w:pPr>
    </w:p>
    <w:p w:rsidR="001C45DD" w:rsidRDefault="00CA7826">
      <w:pPr>
        <w:pStyle w:val="2"/>
        <w:ind w:left="640"/>
        <w:rPr>
          <w:rFonts w:ascii="黑体" w:eastAsia="黑体" w:hAnsi="黑体" w:cs="黑体"/>
          <w:b w:val="0"/>
          <w:bCs w:val="0"/>
        </w:rPr>
      </w:pPr>
      <w:bookmarkStart w:id="46" w:name="_Toc16229"/>
      <w:bookmarkStart w:id="47" w:name="_Toc15377207"/>
      <w:bookmarkStart w:id="48" w:name="_Toc15396605"/>
      <w:bookmarkStart w:id="49" w:name="_Toc4219"/>
      <w:r>
        <w:rPr>
          <w:rFonts w:ascii="黑体" w:eastAsia="黑体" w:hAnsi="黑体" w:cs="黑体" w:hint="eastAsia"/>
          <w:b w:val="0"/>
          <w:bCs w:val="0"/>
        </w:rPr>
        <w:t>三、支出决算情况说明</w:t>
      </w:r>
      <w:bookmarkEnd w:id="46"/>
      <w:bookmarkEnd w:id="47"/>
      <w:bookmarkEnd w:id="48"/>
      <w:bookmarkEnd w:id="49"/>
    </w:p>
    <w:p w:rsidR="001C45DD" w:rsidRDefault="00CA7826">
      <w:pPr>
        <w:spacing w:line="600" w:lineRule="exact"/>
        <w:ind w:firstLineChars="200" w:firstLine="640"/>
        <w:outlineLvl w:val="1"/>
        <w:rPr>
          <w:rFonts w:ascii="仿宋" w:eastAsia="仿宋" w:hAnsi="仿宋"/>
          <w:color w:val="000000"/>
          <w:sz w:val="32"/>
          <w:szCs w:val="32"/>
        </w:rPr>
      </w:pPr>
      <w:bookmarkStart w:id="50" w:name="_Toc17691"/>
      <w:bookmarkStart w:id="51" w:name="_Toc20368"/>
      <w:bookmarkStart w:id="52" w:name="_Toc31582"/>
      <w:r>
        <w:rPr>
          <w:rFonts w:ascii="仿宋" w:eastAsia="仿宋" w:hAnsi="仿宋"/>
          <w:color w:val="000000"/>
          <w:sz w:val="32"/>
          <w:szCs w:val="32"/>
        </w:rPr>
        <w:t>201</w:t>
      </w:r>
      <w:r>
        <w:rPr>
          <w:rFonts w:ascii="仿宋" w:eastAsia="仿宋" w:hAnsi="仿宋" w:hint="eastAsia"/>
          <w:color w:val="000000"/>
          <w:sz w:val="32"/>
          <w:szCs w:val="32"/>
        </w:rPr>
        <w:t>9年本年支出合计338.79万元，其中：基本支出92.79万元，占27.39</w:t>
      </w:r>
      <w:r>
        <w:rPr>
          <w:rFonts w:ascii="仿宋" w:eastAsia="仿宋" w:hAnsi="仿宋"/>
          <w:color w:val="000000"/>
          <w:sz w:val="32"/>
          <w:szCs w:val="32"/>
        </w:rPr>
        <w:t>%</w:t>
      </w:r>
      <w:r>
        <w:rPr>
          <w:rFonts w:ascii="仿宋" w:eastAsia="仿宋" w:hAnsi="仿宋" w:hint="eastAsia"/>
          <w:color w:val="000000"/>
          <w:sz w:val="32"/>
          <w:szCs w:val="32"/>
        </w:rPr>
        <w:t>；项目支出246万元，占72.61</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w:t>
      </w:r>
      <w:r>
        <w:rPr>
          <w:rFonts w:ascii="仿宋" w:eastAsia="仿宋" w:hAnsi="仿宋" w:hint="eastAsia"/>
          <w:color w:val="000000"/>
          <w:sz w:val="32"/>
          <w:szCs w:val="32"/>
        </w:rPr>
        <w:lastRenderedPageBreak/>
        <w:t>属单位补助支出0万元，占0</w:t>
      </w:r>
      <w:r>
        <w:rPr>
          <w:rFonts w:ascii="仿宋" w:eastAsia="仿宋" w:hAnsi="仿宋"/>
          <w:color w:val="000000"/>
          <w:sz w:val="32"/>
          <w:szCs w:val="32"/>
        </w:rPr>
        <w:t>%</w:t>
      </w:r>
      <w:r>
        <w:rPr>
          <w:rFonts w:ascii="仿宋" w:eastAsia="仿宋" w:hAnsi="仿宋" w:hint="eastAsia"/>
          <w:color w:val="000000"/>
          <w:sz w:val="32"/>
          <w:szCs w:val="32"/>
        </w:rPr>
        <w:t>。</w:t>
      </w:r>
      <w:bookmarkEnd w:id="50"/>
      <w:bookmarkEnd w:id="51"/>
      <w:bookmarkEnd w:id="52"/>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CA7826">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sz w:val="32"/>
          <w:szCs w:val="32"/>
        </w:rPr>
        <w:drawing>
          <wp:anchor distT="0" distB="0" distL="114300" distR="114300" simplePos="0" relativeHeight="251663360" behindDoc="0" locked="0" layoutInCell="1" allowOverlap="1">
            <wp:simplePos x="0" y="0"/>
            <wp:positionH relativeFrom="column">
              <wp:posOffset>520700</wp:posOffset>
            </wp:positionH>
            <wp:positionV relativeFrom="paragraph">
              <wp:posOffset>74295</wp:posOffset>
            </wp:positionV>
            <wp:extent cx="4487545" cy="3547110"/>
            <wp:effectExtent l="4445" t="5080" r="22860" b="101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rPr>
          <w:rFonts w:ascii="仿宋" w:eastAsia="仿宋" w:hAnsi="仿宋"/>
          <w:color w:val="000000" w:themeColor="text1"/>
          <w:sz w:val="32"/>
          <w:szCs w:val="32"/>
        </w:rPr>
      </w:pPr>
    </w:p>
    <w:p w:rsidR="001C45DD" w:rsidRDefault="00CA7826">
      <w:pPr>
        <w:spacing w:line="600" w:lineRule="exact"/>
        <w:ind w:firstLineChars="200" w:firstLine="640"/>
        <w:rPr>
          <w:rFonts w:ascii="仿宋_GB2312" w:eastAsia="仿宋_GB2312"/>
          <w:color w:val="FF0000"/>
          <w:sz w:val="32"/>
          <w:szCs w:val="32"/>
        </w:rPr>
      </w:pPr>
      <w:r>
        <w:rPr>
          <w:rFonts w:ascii="仿宋" w:eastAsia="仿宋" w:hAnsi="仿宋" w:hint="eastAsia"/>
          <w:color w:val="000000" w:themeColor="text1"/>
          <w:sz w:val="32"/>
          <w:szCs w:val="32"/>
        </w:rPr>
        <w:t>（图3：支出决算结构图）（饼状图）</w:t>
      </w:r>
    </w:p>
    <w:p w:rsidR="001C45DD" w:rsidRDefault="00CA7826">
      <w:pPr>
        <w:pStyle w:val="2"/>
        <w:rPr>
          <w:rFonts w:ascii="黑体" w:eastAsia="黑体" w:hAnsi="黑体" w:cs="黑体"/>
          <w:b w:val="0"/>
          <w:bCs w:val="0"/>
        </w:rPr>
      </w:pPr>
      <w:bookmarkStart w:id="53" w:name="_Toc15396606"/>
      <w:bookmarkStart w:id="54" w:name="_Toc15377208"/>
      <w:bookmarkStart w:id="55" w:name="_Toc21349"/>
      <w:bookmarkStart w:id="56" w:name="_Toc15567"/>
      <w:r>
        <w:rPr>
          <w:rFonts w:ascii="黑体" w:eastAsia="黑体" w:hAnsi="黑体" w:cs="黑体" w:hint="eastAsia"/>
          <w:b w:val="0"/>
          <w:bCs w:val="0"/>
        </w:rPr>
        <w:t>四、财政拨款收入支出决算总体情况说明</w:t>
      </w:r>
      <w:bookmarkEnd w:id="53"/>
      <w:bookmarkEnd w:id="54"/>
      <w:bookmarkEnd w:id="55"/>
      <w:bookmarkEnd w:id="56"/>
    </w:p>
    <w:p w:rsidR="001C45DD" w:rsidRDefault="00CA782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9年财政拨款收入总计833.14万元、支出总计323.99万元。与</w:t>
      </w:r>
      <w:r>
        <w:rPr>
          <w:rFonts w:ascii="仿宋" w:eastAsia="仿宋" w:hAnsi="仿宋"/>
          <w:color w:val="000000"/>
          <w:sz w:val="32"/>
          <w:szCs w:val="32"/>
        </w:rPr>
        <w:t>201</w:t>
      </w:r>
      <w:r>
        <w:rPr>
          <w:rFonts w:ascii="仿宋" w:eastAsia="仿宋" w:hAnsi="仿宋" w:hint="eastAsia"/>
          <w:color w:val="000000"/>
          <w:sz w:val="32"/>
          <w:szCs w:val="32"/>
        </w:rPr>
        <w:t>8年相比，财政拨款收入增加 669.99万元，增长410.66%，支出总计增加160.84万元，增长98.58</w:t>
      </w:r>
      <w:r>
        <w:rPr>
          <w:rFonts w:ascii="仿宋" w:eastAsia="仿宋" w:hAnsi="仿宋"/>
          <w:color w:val="000000"/>
          <w:sz w:val="32"/>
          <w:szCs w:val="32"/>
        </w:rPr>
        <w:t>%</w:t>
      </w:r>
      <w:r>
        <w:rPr>
          <w:rFonts w:ascii="仿宋" w:eastAsia="仿宋" w:hAnsi="仿宋" w:hint="eastAsia"/>
          <w:color w:val="000000"/>
          <w:sz w:val="32"/>
          <w:szCs w:val="32"/>
        </w:rPr>
        <w:t>。主要变动原因是为加快推进土地供应，征地拆迁，“大棚房”等整治工作。</w:t>
      </w:r>
    </w:p>
    <w:p w:rsidR="001C45DD" w:rsidRDefault="00CA7826">
      <w:pPr>
        <w:spacing w:line="600" w:lineRule="exact"/>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7456" behindDoc="0" locked="0" layoutInCell="1" allowOverlap="1">
            <wp:simplePos x="0" y="0"/>
            <wp:positionH relativeFrom="column">
              <wp:posOffset>502285</wp:posOffset>
            </wp:positionH>
            <wp:positionV relativeFrom="paragraph">
              <wp:posOffset>-8225790</wp:posOffset>
            </wp:positionV>
            <wp:extent cx="4771390" cy="3635375"/>
            <wp:effectExtent l="4445" t="5080" r="5715" b="7429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C45DD" w:rsidRDefault="001C45DD">
      <w:pPr>
        <w:spacing w:line="600" w:lineRule="exact"/>
        <w:rPr>
          <w:rFonts w:ascii="仿宋" w:eastAsia="仿宋" w:hAnsi="仿宋"/>
          <w:color w:val="000000"/>
          <w:sz w:val="32"/>
          <w:szCs w:val="32"/>
        </w:rPr>
      </w:pPr>
    </w:p>
    <w:p w:rsidR="001C45DD" w:rsidRDefault="001C45DD">
      <w:pPr>
        <w:spacing w:line="600" w:lineRule="exact"/>
        <w:rPr>
          <w:rFonts w:ascii="仿宋" w:eastAsia="仿宋" w:hAnsi="仿宋"/>
          <w:color w:val="000000"/>
          <w:sz w:val="32"/>
          <w:szCs w:val="32"/>
        </w:rPr>
      </w:pPr>
    </w:p>
    <w:p w:rsidR="001C45DD" w:rsidRDefault="001C45DD">
      <w:pPr>
        <w:spacing w:line="600" w:lineRule="exact"/>
        <w:rPr>
          <w:rFonts w:ascii="仿宋" w:eastAsia="仿宋" w:hAnsi="仿宋"/>
          <w:color w:val="000000"/>
          <w:sz w:val="32"/>
          <w:szCs w:val="32"/>
        </w:rPr>
      </w:pPr>
    </w:p>
    <w:p w:rsidR="001C45DD" w:rsidRDefault="001C45DD">
      <w:pPr>
        <w:spacing w:line="600" w:lineRule="exact"/>
        <w:rPr>
          <w:rFonts w:ascii="仿宋" w:eastAsia="仿宋" w:hAnsi="仿宋"/>
          <w:color w:val="000000"/>
          <w:sz w:val="32"/>
          <w:szCs w:val="32"/>
        </w:rPr>
      </w:pPr>
    </w:p>
    <w:p w:rsidR="001C45DD" w:rsidRDefault="001C45DD">
      <w:pPr>
        <w:spacing w:line="600" w:lineRule="exact"/>
        <w:rPr>
          <w:rFonts w:ascii="仿宋" w:eastAsia="仿宋" w:hAnsi="仿宋"/>
          <w:color w:val="000000"/>
          <w:sz w:val="32"/>
          <w:szCs w:val="32"/>
        </w:rPr>
      </w:pPr>
    </w:p>
    <w:p w:rsidR="001C45DD" w:rsidRDefault="001C45DD">
      <w:pPr>
        <w:spacing w:line="600" w:lineRule="exact"/>
        <w:rPr>
          <w:rFonts w:ascii="仿宋" w:eastAsia="仿宋" w:hAnsi="仿宋"/>
          <w:color w:val="000000"/>
          <w:sz w:val="32"/>
          <w:szCs w:val="32"/>
        </w:rPr>
      </w:pPr>
    </w:p>
    <w:p w:rsidR="001C45DD" w:rsidRDefault="001C45DD">
      <w:pPr>
        <w:spacing w:line="600" w:lineRule="exact"/>
        <w:rPr>
          <w:rFonts w:ascii="仿宋" w:eastAsia="仿宋" w:hAnsi="仿宋"/>
          <w:color w:val="000000" w:themeColor="text1"/>
          <w:sz w:val="32"/>
          <w:szCs w:val="32"/>
        </w:rPr>
      </w:pPr>
    </w:p>
    <w:p w:rsidR="001C45DD" w:rsidRDefault="00CA7826">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1C45DD" w:rsidRDefault="001C45DD">
      <w:pPr>
        <w:spacing w:line="600" w:lineRule="exact"/>
        <w:ind w:firstLine="640"/>
        <w:rPr>
          <w:rFonts w:ascii="仿宋" w:eastAsia="仿宋" w:hAnsi="仿宋"/>
          <w:b/>
          <w:color w:val="00B050"/>
          <w:sz w:val="32"/>
          <w:szCs w:val="32"/>
        </w:rPr>
      </w:pPr>
    </w:p>
    <w:p w:rsidR="001C45DD" w:rsidRDefault="00CA7826">
      <w:pPr>
        <w:pStyle w:val="2"/>
        <w:rPr>
          <w:rFonts w:ascii="黑体" w:eastAsia="黑体" w:hAnsi="黑体" w:cs="黑体"/>
          <w:b w:val="0"/>
          <w:bCs w:val="0"/>
        </w:rPr>
      </w:pPr>
      <w:bookmarkStart w:id="57" w:name="_Toc8652"/>
      <w:bookmarkStart w:id="58" w:name="_Toc15396607"/>
      <w:bookmarkStart w:id="59" w:name="_Toc15923"/>
      <w:bookmarkStart w:id="60" w:name="_Toc15377209"/>
      <w:r>
        <w:rPr>
          <w:rFonts w:ascii="黑体" w:eastAsia="黑体" w:hAnsi="黑体" w:cs="黑体" w:hint="eastAsia"/>
          <w:b w:val="0"/>
          <w:bCs w:val="0"/>
        </w:rPr>
        <w:t>五、一般公共预算财政拨款支出决算情况说明</w:t>
      </w:r>
      <w:bookmarkEnd w:id="57"/>
      <w:bookmarkEnd w:id="58"/>
      <w:bookmarkEnd w:id="59"/>
      <w:bookmarkEnd w:id="60"/>
    </w:p>
    <w:p w:rsidR="001C45DD" w:rsidRDefault="00CA7826">
      <w:pPr>
        <w:spacing w:line="600" w:lineRule="exact"/>
        <w:ind w:firstLineChars="200" w:firstLine="643"/>
        <w:outlineLvl w:val="2"/>
        <w:rPr>
          <w:rFonts w:ascii="仿宋" w:eastAsia="仿宋" w:hAnsi="仿宋"/>
          <w:b/>
          <w:color w:val="000000"/>
          <w:sz w:val="32"/>
          <w:szCs w:val="32"/>
        </w:rPr>
      </w:pPr>
      <w:bookmarkStart w:id="61" w:name="_Toc15377210"/>
      <w:r>
        <w:rPr>
          <w:rFonts w:ascii="仿宋" w:eastAsia="仿宋" w:hAnsi="仿宋" w:hint="eastAsia"/>
          <w:b/>
          <w:color w:val="000000"/>
          <w:sz w:val="32"/>
          <w:szCs w:val="32"/>
        </w:rPr>
        <w:t>（一）一般公共预算财政拨款支出决算总体情况</w:t>
      </w:r>
      <w:bookmarkEnd w:id="61"/>
    </w:p>
    <w:p w:rsidR="001C45DD" w:rsidRDefault="00CA7826">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9年一般公共预算财政拨款支出238.65万元，占本年支出合计的70.44</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8年相比，一般公共预算财政拨款增加85.10万元，增长55.42</w:t>
      </w:r>
      <w:r>
        <w:rPr>
          <w:rFonts w:ascii="仿宋" w:eastAsia="仿宋" w:hAnsi="仿宋"/>
          <w:color w:val="000000"/>
          <w:sz w:val="32"/>
          <w:szCs w:val="32"/>
        </w:rPr>
        <w:t>%</w:t>
      </w:r>
      <w:r>
        <w:rPr>
          <w:rFonts w:ascii="仿宋" w:eastAsia="仿宋" w:hAnsi="仿宋" w:hint="eastAsia"/>
          <w:color w:val="000000"/>
          <w:sz w:val="32"/>
          <w:szCs w:val="32"/>
        </w:rPr>
        <w:t>。主要变动原因是为加快推进土地供应，征地拆迁，“大棚房”等整治工作。</w:t>
      </w:r>
    </w:p>
    <w:p w:rsidR="001C45DD" w:rsidRDefault="00CA7826">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72576" behindDoc="0" locked="0" layoutInCell="1" allowOverlap="1">
            <wp:simplePos x="0" y="0"/>
            <wp:positionH relativeFrom="column">
              <wp:posOffset>497205</wp:posOffset>
            </wp:positionH>
            <wp:positionV relativeFrom="paragraph">
              <wp:posOffset>219075</wp:posOffset>
            </wp:positionV>
            <wp:extent cx="4705985" cy="2898140"/>
            <wp:effectExtent l="4445" t="5080" r="13970" b="6858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ind w:firstLineChars="200" w:firstLine="640"/>
        <w:rPr>
          <w:rFonts w:ascii="仿宋" w:eastAsia="仿宋" w:hAnsi="仿宋"/>
          <w:color w:val="000000"/>
          <w:sz w:val="32"/>
          <w:szCs w:val="32"/>
        </w:rPr>
      </w:pPr>
    </w:p>
    <w:p w:rsidR="001C45DD" w:rsidRDefault="001C45DD">
      <w:pPr>
        <w:spacing w:line="600" w:lineRule="exact"/>
        <w:rPr>
          <w:rFonts w:ascii="仿宋" w:eastAsia="仿宋" w:hAnsi="仿宋"/>
          <w:color w:val="000000"/>
          <w:sz w:val="32"/>
          <w:szCs w:val="32"/>
        </w:rPr>
      </w:pPr>
    </w:p>
    <w:p w:rsidR="001C45DD" w:rsidRDefault="00CA7826">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（图5：一般公共预算财政拨款支出决算变动情况）（柱状图）</w:t>
      </w: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CA7826">
      <w:pPr>
        <w:spacing w:line="600" w:lineRule="exact"/>
        <w:ind w:firstLineChars="200" w:firstLine="643"/>
        <w:outlineLvl w:val="2"/>
        <w:rPr>
          <w:rFonts w:ascii="仿宋" w:eastAsia="仿宋" w:hAnsi="仿宋"/>
          <w:b/>
          <w:color w:val="000000"/>
          <w:sz w:val="32"/>
          <w:szCs w:val="32"/>
        </w:rPr>
      </w:pPr>
      <w:bookmarkStart w:id="62" w:name="_Toc15377211"/>
      <w:r>
        <w:rPr>
          <w:rFonts w:ascii="仿宋" w:eastAsia="仿宋" w:hAnsi="仿宋" w:hint="eastAsia"/>
          <w:b/>
          <w:color w:val="000000"/>
          <w:sz w:val="32"/>
          <w:szCs w:val="32"/>
        </w:rPr>
        <w:t>（二）一般公共预算财政拨款支出决算结构情况</w:t>
      </w:r>
      <w:bookmarkEnd w:id="62"/>
    </w:p>
    <w:p w:rsidR="001C45DD" w:rsidRDefault="00CA7826">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政拨款支出238.65万元，主要用于以下方面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一般公共服务支出（201）</w:t>
      </w:r>
      <w:r>
        <w:rPr>
          <w:rFonts w:ascii="仿宋" w:eastAsia="仿宋" w:hAnsi="仿宋" w:hint="eastAsia"/>
          <w:color w:val="000000" w:themeColor="text1"/>
          <w:sz w:val="32"/>
          <w:szCs w:val="32"/>
        </w:rPr>
        <w:t>82.21万元，占34.45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城乡社区支出</w:t>
      </w:r>
      <w:r>
        <w:rPr>
          <w:rFonts w:ascii="仿宋" w:eastAsia="仿宋" w:hAnsi="仿宋" w:hint="eastAsia"/>
          <w:b/>
          <w:color w:val="000000" w:themeColor="text1"/>
          <w:sz w:val="32"/>
          <w:szCs w:val="32"/>
        </w:rPr>
        <w:t>（212）</w:t>
      </w:r>
      <w:r>
        <w:rPr>
          <w:rFonts w:ascii="仿宋" w:eastAsia="仿宋" w:hAnsi="仿宋" w:hint="eastAsia"/>
          <w:color w:val="000000" w:themeColor="text1"/>
          <w:sz w:val="32"/>
          <w:szCs w:val="32"/>
        </w:rPr>
        <w:t>4.2万元，占1.75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农林水支出（213）</w:t>
      </w:r>
      <w:r>
        <w:rPr>
          <w:rFonts w:ascii="仿宋" w:eastAsia="仿宋" w:hAnsi="仿宋" w:hint="eastAsia"/>
          <w:color w:val="000000" w:themeColor="text1"/>
          <w:sz w:val="32"/>
          <w:szCs w:val="32"/>
        </w:rPr>
        <w:t>12.22万元，占5.12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自然资源海洋气象支出（220）</w:t>
      </w:r>
      <w:r>
        <w:rPr>
          <w:rFonts w:ascii="仿宋" w:eastAsia="仿宋" w:hAnsi="仿宋" w:hint="eastAsia"/>
          <w:color w:val="000000" w:themeColor="text1"/>
          <w:sz w:val="32"/>
          <w:szCs w:val="32"/>
        </w:rPr>
        <w:t>132.15万元，占55.38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灾害防治及</w:t>
      </w:r>
      <w:r>
        <w:rPr>
          <w:rFonts w:ascii="仿宋" w:eastAsia="仿宋" w:hAnsi="仿宋" w:hint="eastAsia"/>
          <w:b/>
          <w:color w:val="000000" w:themeColor="text1"/>
          <w:sz w:val="32"/>
          <w:szCs w:val="32"/>
        </w:rPr>
        <w:t>应急管理支出（224）</w:t>
      </w:r>
      <w:r>
        <w:rPr>
          <w:rFonts w:ascii="仿宋" w:eastAsia="仿宋" w:hAnsi="仿宋" w:hint="eastAsia"/>
          <w:color w:val="000000" w:themeColor="text1"/>
          <w:sz w:val="32"/>
          <w:szCs w:val="32"/>
        </w:rPr>
        <w:t>7.87万元，占3.3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CA7826">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78720" behindDoc="0" locked="0" layoutInCell="1" allowOverlap="1">
            <wp:simplePos x="0" y="0"/>
            <wp:positionH relativeFrom="column">
              <wp:posOffset>356235</wp:posOffset>
            </wp:positionH>
            <wp:positionV relativeFrom="paragraph">
              <wp:posOffset>68580</wp:posOffset>
            </wp:positionV>
            <wp:extent cx="3975100" cy="3143885"/>
            <wp:effectExtent l="4445" t="4445" r="20955"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1C45DD">
      <w:pPr>
        <w:spacing w:line="600" w:lineRule="exact"/>
        <w:rPr>
          <w:rFonts w:ascii="仿宋" w:eastAsia="仿宋" w:hAnsi="仿宋"/>
          <w:color w:val="000000" w:themeColor="text1"/>
          <w:sz w:val="32"/>
          <w:szCs w:val="32"/>
        </w:rPr>
      </w:pPr>
    </w:p>
    <w:p w:rsidR="001C45DD" w:rsidRDefault="001C45DD">
      <w:pPr>
        <w:spacing w:line="600" w:lineRule="exact"/>
        <w:ind w:firstLineChars="200" w:firstLine="640"/>
        <w:rPr>
          <w:rFonts w:ascii="仿宋" w:eastAsia="仿宋" w:hAnsi="仿宋"/>
          <w:color w:val="000000" w:themeColor="text1"/>
          <w:sz w:val="32"/>
          <w:szCs w:val="32"/>
        </w:rPr>
      </w:pPr>
    </w:p>
    <w:p w:rsidR="001C45DD" w:rsidRDefault="00CA782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1C45DD" w:rsidRDefault="001C45DD">
      <w:pPr>
        <w:spacing w:line="600" w:lineRule="exact"/>
        <w:ind w:firstLineChars="200" w:firstLine="640"/>
        <w:rPr>
          <w:rFonts w:ascii="仿宋" w:eastAsia="仿宋" w:hAnsi="仿宋"/>
          <w:color w:val="000000"/>
          <w:sz w:val="32"/>
          <w:szCs w:val="32"/>
        </w:rPr>
      </w:pPr>
    </w:p>
    <w:p w:rsidR="001C45DD" w:rsidRDefault="00CA7826">
      <w:pPr>
        <w:spacing w:line="600" w:lineRule="exact"/>
        <w:ind w:firstLineChars="200" w:firstLine="643"/>
        <w:outlineLvl w:val="2"/>
        <w:rPr>
          <w:rFonts w:ascii="仿宋" w:eastAsia="仿宋" w:hAnsi="仿宋"/>
          <w:b/>
          <w:color w:val="000000"/>
          <w:sz w:val="32"/>
          <w:szCs w:val="32"/>
        </w:rPr>
      </w:pPr>
      <w:bookmarkStart w:id="63" w:name="_Toc15377212"/>
      <w:r>
        <w:rPr>
          <w:rFonts w:ascii="仿宋" w:eastAsia="仿宋" w:hAnsi="仿宋" w:hint="eastAsia"/>
          <w:b/>
          <w:color w:val="000000"/>
          <w:sz w:val="32"/>
          <w:szCs w:val="32"/>
        </w:rPr>
        <w:lastRenderedPageBreak/>
        <w:t>（三）一般公共预算财政拨款支出决算具体情况</w:t>
      </w:r>
      <w:bookmarkEnd w:id="63"/>
    </w:p>
    <w:p w:rsidR="001C45DD" w:rsidRDefault="00CA7826">
      <w:pPr>
        <w:spacing w:line="600" w:lineRule="exact"/>
        <w:ind w:firstLineChars="200" w:firstLine="643"/>
        <w:outlineLvl w:val="2"/>
        <w:rPr>
          <w:rFonts w:ascii="仿宋" w:eastAsia="仿宋" w:hAnsi="仿宋"/>
          <w:color w:val="FF0000"/>
          <w:sz w:val="32"/>
          <w:szCs w:val="32"/>
        </w:rPr>
      </w:pPr>
      <w:bookmarkStart w:id="64" w:name="_Toc15378460"/>
      <w:bookmarkStart w:id="65" w:name="_Toc15377444"/>
      <w:bookmarkStart w:id="66" w:name="_Toc15377213"/>
      <w:r>
        <w:rPr>
          <w:rFonts w:ascii="仿宋" w:eastAsia="仿宋" w:hAnsi="仿宋" w:hint="eastAsia"/>
          <w:b/>
          <w:color w:val="000000" w:themeColor="text1"/>
          <w:sz w:val="32"/>
          <w:szCs w:val="32"/>
        </w:rPr>
        <w:t>2019年般公共预算支出决算数为</w:t>
      </w:r>
      <w:r>
        <w:rPr>
          <w:rFonts w:ascii="仿宋" w:eastAsia="仿宋" w:hAnsi="仿宋" w:hint="eastAsia"/>
          <w:color w:val="000000" w:themeColor="text1"/>
          <w:sz w:val="32"/>
          <w:szCs w:val="32"/>
        </w:rPr>
        <w:t>238.65万元，</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64"/>
      <w:bookmarkEnd w:id="65"/>
      <w:bookmarkEnd w:id="66"/>
    </w:p>
    <w:p w:rsidR="001C45DD" w:rsidRDefault="00CA7826">
      <w:pPr>
        <w:spacing w:line="600" w:lineRule="exact"/>
        <w:rPr>
          <w:rStyle w:val="a7"/>
          <w:rFonts w:ascii="仿宋" w:eastAsia="仿宋" w:hAnsi="仿宋"/>
          <w:b w:val="0"/>
          <w:bCs/>
          <w:color w:val="000000"/>
          <w:sz w:val="32"/>
          <w:szCs w:val="32"/>
        </w:rPr>
      </w:pPr>
      <w:r>
        <w:rPr>
          <w:rStyle w:val="a7"/>
          <w:rFonts w:ascii="仿宋" w:eastAsia="仿宋" w:hAnsi="仿宋" w:hint="eastAsia"/>
          <w:bCs/>
          <w:color w:val="000000"/>
          <w:sz w:val="32"/>
          <w:szCs w:val="32"/>
        </w:rPr>
        <w:t>1.一般公共服务支出（201）政府办公厅（室）及相关机构事务（03）行政运行（01）</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22.72</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C45DD" w:rsidRDefault="00CA7826">
      <w:pPr>
        <w:spacing w:line="600" w:lineRule="exact"/>
        <w:rPr>
          <w:rStyle w:val="a7"/>
          <w:rFonts w:ascii="仿宋" w:eastAsia="仿宋" w:hAnsi="仿宋"/>
          <w:b w:val="0"/>
          <w:bCs/>
          <w:color w:val="000000"/>
          <w:sz w:val="32"/>
          <w:szCs w:val="32"/>
        </w:rPr>
      </w:pPr>
      <w:r>
        <w:rPr>
          <w:rStyle w:val="a7"/>
          <w:rFonts w:ascii="仿宋" w:eastAsia="仿宋" w:hAnsi="仿宋" w:hint="eastAsia"/>
          <w:bCs/>
          <w:color w:val="000000"/>
          <w:sz w:val="32"/>
          <w:szCs w:val="32"/>
        </w:rPr>
        <w:t>2.一般公共服务支出（201）政府办公厅（室）及相关机构事务（03）一般行政管理事务（02）：</w:t>
      </w:r>
      <w:r>
        <w:rPr>
          <w:rStyle w:val="a7"/>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59.49</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C45DD" w:rsidRDefault="00CA7826">
      <w:pPr>
        <w:spacing w:line="600" w:lineRule="exact"/>
        <w:rPr>
          <w:rFonts w:ascii="仿宋" w:eastAsia="仿宋" w:hAnsi="仿宋"/>
          <w:b/>
          <w:color w:val="000000"/>
          <w:sz w:val="32"/>
          <w:szCs w:val="32"/>
        </w:rPr>
      </w:pPr>
      <w:r>
        <w:rPr>
          <w:rFonts w:ascii="仿宋" w:eastAsia="仿宋" w:hAnsi="仿宋" w:hint="eastAsia"/>
          <w:b/>
          <w:bCs/>
          <w:color w:val="000000" w:themeColor="text1"/>
          <w:sz w:val="32"/>
          <w:szCs w:val="32"/>
        </w:rPr>
        <w:t>3.城乡社区支出</w:t>
      </w:r>
      <w:r>
        <w:rPr>
          <w:rFonts w:ascii="仿宋" w:eastAsia="仿宋" w:hAnsi="仿宋" w:hint="eastAsia"/>
          <w:b/>
          <w:color w:val="000000" w:themeColor="text1"/>
          <w:sz w:val="32"/>
          <w:szCs w:val="32"/>
        </w:rPr>
        <w:t>（212）城乡社区规划与管理（02）城乡社区规划与管理（01）</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4.2</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C45DD" w:rsidRDefault="00CA7826">
      <w:pPr>
        <w:spacing w:line="600" w:lineRule="exact"/>
        <w:rPr>
          <w:rFonts w:ascii="仿宋" w:eastAsia="仿宋" w:hAnsi="仿宋"/>
          <w:b/>
          <w:color w:val="000000"/>
          <w:sz w:val="32"/>
          <w:szCs w:val="32"/>
        </w:rPr>
      </w:pPr>
      <w:r>
        <w:rPr>
          <w:rFonts w:ascii="仿宋" w:eastAsia="仿宋" w:hAnsi="仿宋" w:hint="eastAsia"/>
          <w:b/>
          <w:color w:val="000000" w:themeColor="text1"/>
          <w:sz w:val="32"/>
          <w:szCs w:val="32"/>
        </w:rPr>
        <w:t>4.农林水支出（213）林业和草原（02）防灾减灾（34）</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12.22</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C45DD" w:rsidRDefault="00CA7826">
      <w:pPr>
        <w:spacing w:line="600" w:lineRule="exact"/>
        <w:rPr>
          <w:rStyle w:val="a7"/>
          <w:rFonts w:ascii="仿宋" w:eastAsia="仿宋" w:hAnsi="仿宋"/>
          <w:b w:val="0"/>
          <w:bCs/>
          <w:color w:val="000000"/>
          <w:sz w:val="32"/>
          <w:szCs w:val="32"/>
        </w:rPr>
      </w:pPr>
      <w:r>
        <w:rPr>
          <w:rFonts w:ascii="仿宋" w:eastAsia="仿宋" w:hAnsi="仿宋" w:hint="eastAsia"/>
          <w:b/>
          <w:bCs/>
          <w:color w:val="000000" w:themeColor="text1"/>
          <w:sz w:val="32"/>
          <w:szCs w:val="32"/>
        </w:rPr>
        <w:t>5.自然资源海洋气象等支出（220）自然资源事务（01）行政运行（01）</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支出决算为70.07万元，完成预算100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C45DD" w:rsidRDefault="00CA7826">
      <w:pPr>
        <w:spacing w:line="600" w:lineRule="exact"/>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6.</w:t>
      </w:r>
      <w:r>
        <w:rPr>
          <w:rFonts w:ascii="仿宋" w:eastAsia="仿宋" w:hAnsi="仿宋" w:hint="eastAsia"/>
          <w:b/>
          <w:bCs/>
          <w:color w:val="000000" w:themeColor="text1"/>
          <w:sz w:val="32"/>
          <w:szCs w:val="32"/>
        </w:rPr>
        <w:t>自然资源海洋气象等支出（220）自然资源事务（01）一般行政管理事务（02）：</w:t>
      </w:r>
      <w:r>
        <w:rPr>
          <w:rStyle w:val="a7"/>
          <w:rFonts w:ascii="仿宋" w:eastAsia="仿宋" w:hAnsi="仿宋" w:hint="eastAsia"/>
          <w:b w:val="0"/>
          <w:bCs/>
          <w:color w:val="000000"/>
          <w:sz w:val="32"/>
          <w:szCs w:val="32"/>
        </w:rPr>
        <w:t>支出决算为50.01万元，完成预算100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C45DD" w:rsidRDefault="00CA7826">
      <w:pPr>
        <w:spacing w:line="600" w:lineRule="exact"/>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7.</w:t>
      </w:r>
      <w:r>
        <w:rPr>
          <w:rFonts w:ascii="仿宋" w:eastAsia="仿宋" w:hAnsi="仿宋" w:hint="eastAsia"/>
          <w:b/>
          <w:bCs/>
          <w:color w:val="000000" w:themeColor="text1"/>
          <w:sz w:val="32"/>
          <w:szCs w:val="32"/>
        </w:rPr>
        <w:t>自然资源海洋气象等支出（220）自然资源事务（01）其他自然资源事务支出（99）：</w:t>
      </w:r>
      <w:r>
        <w:rPr>
          <w:rStyle w:val="a7"/>
          <w:rFonts w:ascii="仿宋" w:eastAsia="仿宋" w:hAnsi="仿宋" w:hint="eastAsia"/>
          <w:b w:val="0"/>
          <w:bCs/>
          <w:color w:val="000000"/>
          <w:sz w:val="32"/>
          <w:szCs w:val="32"/>
        </w:rPr>
        <w:t>支出决算为12.08万元，完成预算100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C45DD" w:rsidRDefault="00CA7826">
      <w:pPr>
        <w:spacing w:line="600" w:lineRule="exact"/>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8.</w:t>
      </w:r>
      <w:r>
        <w:rPr>
          <w:rFonts w:ascii="仿宋" w:eastAsia="仿宋" w:hAnsi="仿宋" w:hint="eastAsia"/>
          <w:b/>
          <w:bCs/>
          <w:color w:val="000000" w:themeColor="text1"/>
          <w:sz w:val="32"/>
          <w:szCs w:val="32"/>
        </w:rPr>
        <w:t>灾害防治及</w:t>
      </w:r>
      <w:r>
        <w:rPr>
          <w:rFonts w:ascii="仿宋" w:eastAsia="仿宋" w:hAnsi="仿宋" w:hint="eastAsia"/>
          <w:b/>
          <w:color w:val="000000" w:themeColor="text1"/>
          <w:sz w:val="32"/>
          <w:szCs w:val="32"/>
        </w:rPr>
        <w:t>应急管理支出（224）自然灾害防治（06）地质灾害防治（01）</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7.87</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C45DD" w:rsidRDefault="001C45DD">
      <w:pPr>
        <w:spacing w:line="600" w:lineRule="exact"/>
        <w:rPr>
          <w:rStyle w:val="a7"/>
          <w:rFonts w:ascii="仿宋" w:eastAsia="仿宋" w:hAnsi="仿宋"/>
          <w:b w:val="0"/>
          <w:bCs/>
          <w:color w:val="000000"/>
          <w:sz w:val="32"/>
          <w:szCs w:val="32"/>
        </w:rPr>
      </w:pPr>
    </w:p>
    <w:p w:rsidR="001C45DD" w:rsidRDefault="001C45DD">
      <w:pPr>
        <w:spacing w:line="600" w:lineRule="exact"/>
        <w:ind w:firstLineChars="200" w:firstLine="643"/>
        <w:rPr>
          <w:rFonts w:ascii="仿宋" w:eastAsia="仿宋" w:hAnsi="仿宋"/>
          <w:b/>
          <w:color w:val="000000"/>
          <w:sz w:val="32"/>
          <w:szCs w:val="32"/>
        </w:rPr>
      </w:pPr>
    </w:p>
    <w:p w:rsidR="001C45DD" w:rsidRDefault="00CA7826">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表，罗列全部功能分类科目至项级。上述“预算”口径为调整预算数。增减变动原因为决算数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1C45DD" w:rsidRDefault="001C45DD">
      <w:pPr>
        <w:spacing w:line="600" w:lineRule="exact"/>
        <w:ind w:firstLine="640"/>
        <w:rPr>
          <w:rFonts w:ascii="仿宋" w:eastAsia="仿宋" w:hAnsi="仿宋"/>
          <w:b/>
          <w:color w:val="000000"/>
          <w:sz w:val="32"/>
          <w:szCs w:val="32"/>
        </w:rPr>
      </w:pPr>
    </w:p>
    <w:p w:rsidR="001C45DD" w:rsidRDefault="00CA7826">
      <w:pPr>
        <w:tabs>
          <w:tab w:val="right" w:pos="8306"/>
        </w:tabs>
        <w:spacing w:line="600" w:lineRule="exact"/>
        <w:ind w:firstLine="640"/>
        <w:outlineLvl w:val="1"/>
        <w:rPr>
          <w:rStyle w:val="2Char"/>
        </w:rPr>
      </w:pPr>
      <w:bookmarkStart w:id="67" w:name="_Toc15396608"/>
      <w:bookmarkStart w:id="68" w:name="_Toc8441"/>
      <w:bookmarkStart w:id="69" w:name="_Toc10267"/>
      <w:bookmarkStart w:id="70" w:name="_Toc15377214"/>
      <w:r>
        <w:rPr>
          <w:rStyle w:val="2Char"/>
          <w:rFonts w:ascii="黑体" w:eastAsia="黑体" w:hAnsi="黑体" w:cs="黑体" w:hint="eastAsia"/>
          <w:b w:val="0"/>
          <w:bCs w:val="0"/>
        </w:rPr>
        <w:t>六、一般公共预算财政拨款基本支出决算情况说明</w:t>
      </w:r>
      <w:bookmarkEnd w:id="67"/>
      <w:bookmarkEnd w:id="68"/>
      <w:bookmarkEnd w:id="69"/>
      <w:bookmarkEnd w:id="70"/>
      <w:r>
        <w:rPr>
          <w:rStyle w:val="2Char"/>
          <w:rFonts w:ascii="黑体" w:eastAsia="黑体" w:hAnsi="黑体"/>
          <w:b w:val="0"/>
        </w:rPr>
        <w:tab/>
      </w:r>
    </w:p>
    <w:p w:rsidR="001C45DD" w:rsidRDefault="00CA7826">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9年一般公共预算财政拨款基本支出92.79万元，其中：</w:t>
      </w:r>
    </w:p>
    <w:p w:rsidR="001C45DD" w:rsidRDefault="00CA7826">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51.98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40.81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1C45DD" w:rsidRDefault="00CA7826">
      <w:pPr>
        <w:spacing w:line="600" w:lineRule="exact"/>
        <w:ind w:firstLine="640"/>
        <w:outlineLvl w:val="1"/>
        <w:rPr>
          <w:rStyle w:val="2Char"/>
          <w:rFonts w:ascii="黑体" w:eastAsia="黑体" w:hAnsi="黑体"/>
          <w:b w:val="0"/>
        </w:rPr>
      </w:pPr>
      <w:bookmarkStart w:id="71" w:name="_Toc774"/>
      <w:bookmarkStart w:id="72" w:name="_Toc15377215"/>
      <w:bookmarkStart w:id="73" w:name="_Toc15396609"/>
      <w:bookmarkStart w:id="74" w:name="_Toc8844"/>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71"/>
      <w:bookmarkEnd w:id="72"/>
      <w:bookmarkEnd w:id="73"/>
      <w:bookmarkEnd w:id="74"/>
    </w:p>
    <w:p w:rsidR="001C45DD" w:rsidRDefault="00CA7826">
      <w:pPr>
        <w:spacing w:line="600" w:lineRule="exact"/>
        <w:ind w:firstLine="640"/>
        <w:outlineLvl w:val="2"/>
        <w:rPr>
          <w:rFonts w:ascii="仿宋" w:eastAsia="仿宋" w:hAnsi="仿宋"/>
          <w:b/>
          <w:color w:val="000000"/>
          <w:sz w:val="32"/>
          <w:szCs w:val="32"/>
        </w:rPr>
      </w:pPr>
      <w:bookmarkStart w:id="75" w:name="_Toc15377216"/>
      <w:r>
        <w:rPr>
          <w:rFonts w:ascii="仿宋" w:eastAsia="仿宋" w:hAnsi="仿宋" w:hint="eastAsia"/>
          <w:b/>
          <w:color w:val="000000"/>
          <w:sz w:val="32"/>
          <w:szCs w:val="32"/>
        </w:rPr>
        <w:lastRenderedPageBreak/>
        <w:t>（一）“三公”经费财政拨款支出决算总体情况说明</w:t>
      </w:r>
      <w:bookmarkEnd w:id="75"/>
    </w:p>
    <w:p w:rsidR="001C45DD" w:rsidRDefault="00CA782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9年“三公”经费财政拨款支出决算为0万元，完成预算0</w:t>
      </w:r>
      <w:r>
        <w:rPr>
          <w:rFonts w:ascii="仿宋" w:eastAsia="仿宋" w:hAnsi="仿宋"/>
          <w:color w:val="000000"/>
          <w:sz w:val="32"/>
          <w:szCs w:val="32"/>
        </w:rPr>
        <w:t>%</w:t>
      </w:r>
      <w:r>
        <w:rPr>
          <w:rFonts w:ascii="仿宋" w:eastAsia="仿宋" w:hAnsi="仿宋" w:hint="eastAsia"/>
          <w:color w:val="000000"/>
          <w:sz w:val="32"/>
          <w:szCs w:val="32"/>
        </w:rPr>
        <w:t>。</w:t>
      </w:r>
    </w:p>
    <w:p w:rsidR="001C45DD" w:rsidRDefault="00CA7826">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1C45DD" w:rsidRDefault="00CA7826">
      <w:pPr>
        <w:spacing w:line="600" w:lineRule="exact"/>
        <w:ind w:firstLine="640"/>
        <w:outlineLvl w:val="2"/>
        <w:rPr>
          <w:rFonts w:ascii="仿宋" w:eastAsia="仿宋" w:hAnsi="仿宋"/>
          <w:b/>
          <w:color w:val="000000"/>
          <w:sz w:val="32"/>
          <w:szCs w:val="32"/>
        </w:rPr>
      </w:pPr>
      <w:bookmarkStart w:id="76" w:name="_Toc15377217"/>
      <w:r>
        <w:rPr>
          <w:rFonts w:ascii="仿宋" w:eastAsia="仿宋" w:hAnsi="仿宋" w:hint="eastAsia"/>
          <w:b/>
          <w:color w:val="000000"/>
          <w:sz w:val="32"/>
          <w:szCs w:val="32"/>
        </w:rPr>
        <w:t>（二）“三公”经费财政拨款支出决算具体情况说明</w:t>
      </w:r>
      <w:bookmarkEnd w:id="76"/>
    </w:p>
    <w:p w:rsidR="001C45DD" w:rsidRDefault="00CA782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；公务接待费支出决算0万元，占0</w:t>
      </w:r>
      <w:r>
        <w:rPr>
          <w:rFonts w:ascii="仿宋" w:eastAsia="仿宋" w:hAnsi="仿宋"/>
          <w:color w:val="000000"/>
          <w:sz w:val="32"/>
          <w:szCs w:val="32"/>
        </w:rPr>
        <w:t>%</w:t>
      </w:r>
      <w:r>
        <w:rPr>
          <w:rFonts w:ascii="仿宋" w:eastAsia="仿宋" w:hAnsi="仿宋" w:hint="eastAsia"/>
          <w:color w:val="000000"/>
          <w:sz w:val="32"/>
          <w:szCs w:val="32"/>
        </w:rPr>
        <w:t>。具体情况如下：</w:t>
      </w:r>
    </w:p>
    <w:p w:rsidR="001C45DD" w:rsidRDefault="00CA7826">
      <w:pPr>
        <w:spacing w:line="600" w:lineRule="exact"/>
        <w:ind w:firstLine="640"/>
        <w:rPr>
          <w:rFonts w:ascii="仿宋" w:eastAsia="仿宋" w:hAnsi="仿宋"/>
          <w:color w:val="000000"/>
          <w:sz w:val="32"/>
          <w:szCs w:val="32"/>
        </w:rPr>
      </w:pPr>
      <w:r>
        <w:rPr>
          <w:rFonts w:ascii="仿宋" w:eastAsia="仿宋" w:hAnsi="仿宋" w:hint="eastAsia"/>
          <w:noProof/>
          <w:color w:val="000000" w:themeColor="text1"/>
          <w:sz w:val="32"/>
          <w:szCs w:val="32"/>
        </w:rPr>
        <w:drawing>
          <wp:anchor distT="0" distB="0" distL="114300" distR="114300" simplePos="0" relativeHeight="251860992" behindDoc="0" locked="0" layoutInCell="1" allowOverlap="1">
            <wp:simplePos x="0" y="0"/>
            <wp:positionH relativeFrom="column">
              <wp:posOffset>427990</wp:posOffset>
            </wp:positionH>
            <wp:positionV relativeFrom="paragraph">
              <wp:posOffset>5080</wp:posOffset>
            </wp:positionV>
            <wp:extent cx="3851910" cy="3362960"/>
            <wp:effectExtent l="4445" t="4445" r="10795" b="234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C45DD" w:rsidRDefault="001C45DD">
      <w:pPr>
        <w:spacing w:line="600" w:lineRule="exact"/>
        <w:ind w:firstLine="640"/>
        <w:rPr>
          <w:rFonts w:ascii="仿宋" w:eastAsia="仿宋" w:hAnsi="仿宋"/>
          <w:color w:val="000000"/>
          <w:sz w:val="32"/>
          <w:szCs w:val="32"/>
        </w:rPr>
      </w:pPr>
    </w:p>
    <w:p w:rsidR="001C45DD" w:rsidRDefault="001C45DD">
      <w:pPr>
        <w:spacing w:line="600" w:lineRule="exact"/>
        <w:ind w:firstLine="640"/>
        <w:rPr>
          <w:rFonts w:ascii="仿宋" w:eastAsia="仿宋" w:hAnsi="仿宋"/>
          <w:color w:val="000000"/>
          <w:sz w:val="32"/>
          <w:szCs w:val="32"/>
        </w:rPr>
      </w:pPr>
    </w:p>
    <w:p w:rsidR="001C45DD" w:rsidRDefault="001C45DD">
      <w:pPr>
        <w:spacing w:line="600" w:lineRule="exact"/>
        <w:ind w:firstLine="640"/>
        <w:rPr>
          <w:rFonts w:ascii="仿宋" w:eastAsia="仿宋" w:hAnsi="仿宋"/>
          <w:color w:val="000000"/>
          <w:sz w:val="32"/>
          <w:szCs w:val="32"/>
        </w:rPr>
      </w:pPr>
    </w:p>
    <w:p w:rsidR="001C45DD" w:rsidRDefault="001C45DD">
      <w:pPr>
        <w:spacing w:line="600" w:lineRule="exact"/>
        <w:ind w:firstLine="640"/>
        <w:rPr>
          <w:rFonts w:ascii="仿宋" w:eastAsia="仿宋" w:hAnsi="仿宋"/>
          <w:color w:val="000000"/>
          <w:sz w:val="32"/>
          <w:szCs w:val="32"/>
        </w:rPr>
      </w:pPr>
    </w:p>
    <w:p w:rsidR="001C45DD" w:rsidRDefault="001C45DD">
      <w:pPr>
        <w:spacing w:line="600" w:lineRule="exact"/>
        <w:ind w:firstLine="640"/>
        <w:rPr>
          <w:rFonts w:ascii="仿宋" w:eastAsia="仿宋" w:hAnsi="仿宋"/>
          <w:color w:val="000000"/>
          <w:sz w:val="32"/>
          <w:szCs w:val="32"/>
        </w:rPr>
      </w:pPr>
    </w:p>
    <w:p w:rsidR="001C45DD" w:rsidRDefault="001C45DD">
      <w:pPr>
        <w:spacing w:line="600" w:lineRule="exact"/>
        <w:ind w:firstLine="640"/>
        <w:rPr>
          <w:rFonts w:ascii="仿宋" w:eastAsia="仿宋" w:hAnsi="仿宋"/>
          <w:color w:val="000000"/>
          <w:sz w:val="32"/>
          <w:szCs w:val="32"/>
        </w:rPr>
      </w:pPr>
    </w:p>
    <w:p w:rsidR="001C45DD" w:rsidRDefault="001C45DD">
      <w:pPr>
        <w:spacing w:line="600" w:lineRule="exact"/>
        <w:ind w:firstLine="640"/>
        <w:rPr>
          <w:rFonts w:ascii="仿宋" w:eastAsia="仿宋" w:hAnsi="仿宋"/>
          <w:color w:val="000000"/>
          <w:sz w:val="32"/>
          <w:szCs w:val="32"/>
        </w:rPr>
      </w:pPr>
    </w:p>
    <w:p w:rsidR="001C45DD" w:rsidRDefault="001C45DD">
      <w:pPr>
        <w:spacing w:line="600" w:lineRule="exact"/>
        <w:ind w:firstLine="640"/>
        <w:rPr>
          <w:rFonts w:ascii="仿宋" w:eastAsia="仿宋" w:hAnsi="仿宋"/>
          <w:color w:val="000000"/>
          <w:sz w:val="32"/>
          <w:szCs w:val="32"/>
        </w:rPr>
      </w:pPr>
    </w:p>
    <w:p w:rsidR="001C45DD" w:rsidRDefault="00CA7826">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1C45DD" w:rsidRDefault="00CA7826">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lastRenderedPageBreak/>
        <w:t>0</w:t>
      </w:r>
      <w:r>
        <w:rPr>
          <w:rFonts w:ascii="仿宋_GB2312" w:eastAsia="仿宋_GB2312"/>
          <w:color w:val="000000"/>
          <w:sz w:val="32"/>
          <w:szCs w:val="32"/>
        </w:rPr>
        <w:t>%</w:t>
      </w:r>
      <w:r>
        <w:rPr>
          <w:rFonts w:ascii="仿宋_GB2312" w:eastAsia="仿宋_GB2312" w:hint="eastAsia"/>
          <w:color w:val="000000"/>
          <w:sz w:val="32"/>
          <w:szCs w:val="32"/>
        </w:rPr>
        <w:t>。</w:t>
      </w:r>
    </w:p>
    <w:p w:rsidR="001C45DD" w:rsidRDefault="00CA782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下降0.00</w:t>
      </w:r>
      <w:r>
        <w:rPr>
          <w:rFonts w:ascii="仿宋_GB2312" w:eastAsia="仿宋_GB2312"/>
          <w:color w:val="000000"/>
          <w:sz w:val="32"/>
          <w:szCs w:val="32"/>
        </w:rPr>
        <w:t>%</w:t>
      </w:r>
      <w:r>
        <w:rPr>
          <w:rFonts w:ascii="仿宋_GB2312" w:eastAsia="仿宋_GB2312" w:hint="eastAsia"/>
          <w:color w:val="000000"/>
          <w:sz w:val="32"/>
          <w:szCs w:val="32"/>
        </w:rPr>
        <w:t>。</w:t>
      </w:r>
    </w:p>
    <w:p w:rsidR="001C45DD" w:rsidRDefault="00CA7826">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下降0.00</w:t>
      </w:r>
      <w:r>
        <w:rPr>
          <w:rFonts w:ascii="仿宋_GB2312" w:eastAsia="仿宋_GB2312"/>
          <w:color w:val="000000"/>
          <w:sz w:val="32"/>
          <w:szCs w:val="32"/>
        </w:rPr>
        <w:t>%</w:t>
      </w:r>
      <w:r>
        <w:rPr>
          <w:rFonts w:ascii="仿宋_GB2312" w:eastAsia="仿宋_GB2312" w:hint="eastAsia"/>
          <w:color w:val="000000"/>
          <w:sz w:val="32"/>
          <w:szCs w:val="32"/>
        </w:rPr>
        <w:t>。</w:t>
      </w:r>
    </w:p>
    <w:p w:rsidR="001C45DD" w:rsidRDefault="00CA7826">
      <w:pPr>
        <w:pStyle w:val="2"/>
        <w:rPr>
          <w:rFonts w:ascii="黑体" w:eastAsia="黑体" w:hAnsi="黑体" w:cs="黑体"/>
          <w:b w:val="0"/>
          <w:bCs w:val="0"/>
        </w:rPr>
      </w:pPr>
      <w:bookmarkStart w:id="77" w:name="_Toc15396610"/>
      <w:bookmarkStart w:id="78" w:name="_Toc9680"/>
      <w:bookmarkStart w:id="79" w:name="_Toc15377218"/>
      <w:bookmarkStart w:id="80" w:name="_Toc16298"/>
      <w:r>
        <w:rPr>
          <w:rFonts w:ascii="黑体" w:eastAsia="黑体" w:hAnsi="黑体" w:cs="黑体" w:hint="eastAsia"/>
          <w:b w:val="0"/>
          <w:bCs w:val="0"/>
        </w:rPr>
        <w:t>八、政府性基金预算支出决算情况说明</w:t>
      </w:r>
      <w:bookmarkEnd w:id="77"/>
      <w:bookmarkEnd w:id="78"/>
      <w:bookmarkEnd w:id="79"/>
      <w:bookmarkEnd w:id="80"/>
    </w:p>
    <w:p w:rsidR="001C45DD" w:rsidRDefault="00CA782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9年政府性基金预算拨款支出85.34万元。</w:t>
      </w:r>
    </w:p>
    <w:p w:rsidR="001C45DD" w:rsidRDefault="001C45DD">
      <w:pPr>
        <w:spacing w:line="600" w:lineRule="exact"/>
        <w:ind w:firstLine="640"/>
        <w:rPr>
          <w:rFonts w:ascii="仿宋_GB2312" w:eastAsia="仿宋_GB2312"/>
          <w:color w:val="000000"/>
          <w:sz w:val="32"/>
          <w:szCs w:val="32"/>
        </w:rPr>
      </w:pPr>
    </w:p>
    <w:p w:rsidR="001C45DD" w:rsidRDefault="00CA7826">
      <w:pPr>
        <w:pStyle w:val="2"/>
        <w:rPr>
          <w:rFonts w:ascii="黑体" w:eastAsia="黑体" w:hAnsi="黑体" w:cs="黑体"/>
          <w:b w:val="0"/>
          <w:bCs w:val="0"/>
        </w:rPr>
      </w:pPr>
      <w:bookmarkStart w:id="81" w:name="_Toc7360"/>
      <w:bookmarkStart w:id="82" w:name="_Toc13047"/>
      <w:bookmarkStart w:id="83" w:name="_Toc15396611"/>
      <w:bookmarkStart w:id="84" w:name="_Toc15377219"/>
      <w:r>
        <w:rPr>
          <w:rFonts w:ascii="黑体" w:eastAsia="黑体" w:hAnsi="黑体" w:cs="黑体" w:hint="eastAsia"/>
          <w:b w:val="0"/>
          <w:bCs w:val="0"/>
        </w:rPr>
        <w:t>九、国有资本经营预算支出决算情况说明</w:t>
      </w:r>
      <w:bookmarkEnd w:id="81"/>
      <w:bookmarkEnd w:id="82"/>
      <w:bookmarkEnd w:id="83"/>
      <w:bookmarkEnd w:id="84"/>
    </w:p>
    <w:p w:rsidR="001C45DD" w:rsidRDefault="00CA7826">
      <w:pPr>
        <w:spacing w:line="600" w:lineRule="exact"/>
        <w:ind w:firstLine="640"/>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rsidR="001C45DD" w:rsidRDefault="00CA7826">
      <w:pPr>
        <w:pStyle w:val="2"/>
        <w:rPr>
          <w:rFonts w:ascii="黑体" w:eastAsia="黑体" w:hAnsi="黑体" w:cs="黑体"/>
          <w:b w:val="0"/>
          <w:bCs w:val="0"/>
        </w:rPr>
      </w:pPr>
      <w:bookmarkStart w:id="85" w:name="_Toc31194"/>
      <w:bookmarkStart w:id="86" w:name="_Toc15377221"/>
      <w:bookmarkStart w:id="87" w:name="_Toc6892"/>
      <w:bookmarkStart w:id="88" w:name="_Toc15396612"/>
      <w:r>
        <w:rPr>
          <w:rFonts w:ascii="黑体" w:eastAsia="黑体" w:hAnsi="黑体" w:cs="黑体" w:hint="eastAsia"/>
          <w:b w:val="0"/>
          <w:bCs w:val="0"/>
        </w:rPr>
        <w:t>十、其他重要事项的情况说明</w:t>
      </w:r>
      <w:bookmarkEnd w:id="85"/>
      <w:bookmarkEnd w:id="86"/>
      <w:bookmarkEnd w:id="87"/>
      <w:bookmarkEnd w:id="88"/>
    </w:p>
    <w:p w:rsidR="001C45DD" w:rsidRDefault="00CA7826">
      <w:pPr>
        <w:spacing w:line="600" w:lineRule="exact"/>
        <w:ind w:firstLineChars="200" w:firstLine="643"/>
        <w:outlineLvl w:val="2"/>
        <w:rPr>
          <w:rFonts w:ascii="仿宋" w:eastAsia="仿宋" w:hAnsi="仿宋"/>
          <w:color w:val="000000"/>
          <w:sz w:val="32"/>
          <w:szCs w:val="32"/>
        </w:rPr>
      </w:pPr>
      <w:bookmarkStart w:id="89" w:name="_Toc15377222"/>
      <w:r>
        <w:rPr>
          <w:rFonts w:ascii="仿宋" w:eastAsia="仿宋" w:hAnsi="仿宋" w:hint="eastAsia"/>
          <w:b/>
          <w:color w:val="000000"/>
          <w:sz w:val="32"/>
          <w:szCs w:val="32"/>
        </w:rPr>
        <w:t>（一）机关运行经费支出情况</w:t>
      </w:r>
      <w:bookmarkEnd w:id="89"/>
    </w:p>
    <w:p w:rsidR="001C45DD" w:rsidRDefault="00CA7826">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 w:eastAsia="仿宋" w:hAnsi="仿宋" w:hint="eastAsia"/>
          <w:sz w:val="32"/>
          <w:szCs w:val="32"/>
        </w:rPr>
        <w:t>乐山市自然资源局高新区分局(本级)</w:t>
      </w:r>
      <w:r>
        <w:rPr>
          <w:rFonts w:ascii="仿宋_GB2312" w:eastAsia="仿宋_GB2312" w:hint="eastAsia"/>
          <w:color w:val="000000"/>
          <w:sz w:val="32"/>
          <w:szCs w:val="32"/>
        </w:rPr>
        <w:t>机关运行经费支出40.81万元，比</w:t>
      </w:r>
      <w:r>
        <w:rPr>
          <w:rFonts w:ascii="仿宋_GB2312" w:eastAsia="仿宋_GB2312"/>
          <w:color w:val="000000"/>
          <w:sz w:val="32"/>
          <w:szCs w:val="32"/>
        </w:rPr>
        <w:t>201</w:t>
      </w:r>
      <w:r>
        <w:rPr>
          <w:rFonts w:ascii="仿宋_GB2312" w:eastAsia="仿宋_GB2312" w:hint="eastAsia"/>
          <w:color w:val="000000"/>
          <w:sz w:val="32"/>
          <w:szCs w:val="32"/>
        </w:rPr>
        <w:t>8年增加13.34万元，增长48.56</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主要原因机构改革，规划分局、征收补偿局合并到我单位，因此机关运行经费增加25万元。</w:t>
      </w:r>
    </w:p>
    <w:p w:rsidR="001C45DD" w:rsidRDefault="00CA7826">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1C45DD" w:rsidRDefault="00CA782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0" w:name="_Toc15377223"/>
      <w:r>
        <w:rPr>
          <w:rFonts w:ascii="仿宋" w:eastAsia="仿宋" w:hAnsi="仿宋" w:hint="eastAsia"/>
          <w:b/>
          <w:color w:val="000000"/>
          <w:sz w:val="32"/>
          <w:szCs w:val="32"/>
        </w:rPr>
        <w:t>（二）政府采购支出情况</w:t>
      </w:r>
      <w:bookmarkEnd w:id="90"/>
    </w:p>
    <w:p w:rsidR="001C45DD" w:rsidRDefault="00CA782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 w:eastAsia="仿宋" w:hAnsi="仿宋" w:hint="eastAsia"/>
          <w:sz w:val="32"/>
          <w:szCs w:val="32"/>
        </w:rPr>
        <w:t>乐山市自然资源局高新区分局(本级)</w:t>
      </w:r>
      <w:r>
        <w:rPr>
          <w:rFonts w:ascii="仿宋_GB2312" w:eastAsia="仿宋_GB2312" w:hint="eastAsia"/>
          <w:color w:val="000000"/>
          <w:sz w:val="32"/>
          <w:szCs w:val="32"/>
        </w:rPr>
        <w:t>政府采购</w:t>
      </w:r>
      <w:r>
        <w:rPr>
          <w:rFonts w:ascii="仿宋_GB2312" w:eastAsia="仿宋_GB2312" w:hint="eastAsia"/>
          <w:color w:val="000000"/>
          <w:sz w:val="32"/>
          <w:szCs w:val="32"/>
        </w:rPr>
        <w:lastRenderedPageBreak/>
        <w:t>支出总额46.45万元，其中：政府采购货物支出0万元、政府采购工程支出0万元、政府采购服务支出46.45万元。</w:t>
      </w:r>
    </w:p>
    <w:p w:rsidR="001C45DD" w:rsidRDefault="00CA7826">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1C45DD" w:rsidRDefault="00CA782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1" w:name="_Toc15377224"/>
      <w:r>
        <w:rPr>
          <w:rFonts w:ascii="仿宋" w:eastAsia="仿宋" w:hAnsi="仿宋" w:hint="eastAsia"/>
          <w:b/>
          <w:color w:val="000000"/>
          <w:sz w:val="32"/>
          <w:szCs w:val="32"/>
        </w:rPr>
        <w:t>（三）国有资产占有使用情况</w:t>
      </w:r>
      <w:bookmarkEnd w:id="91"/>
    </w:p>
    <w:p w:rsidR="001C45DD" w:rsidRDefault="00CA7826">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 w:eastAsia="仿宋" w:hAnsi="仿宋" w:hint="eastAsia"/>
          <w:sz w:val="32"/>
          <w:szCs w:val="32"/>
        </w:rPr>
        <w:t>乐山市自然资源局高新区分局(本级)</w:t>
      </w:r>
      <w:r>
        <w:rPr>
          <w:rFonts w:ascii="仿宋_GB2312" w:eastAsia="仿宋_GB2312" w:hint="eastAsia"/>
          <w:color w:val="000000"/>
          <w:sz w:val="32"/>
          <w:szCs w:val="32"/>
        </w:rPr>
        <w:t>共有车辆0辆，其中：主要领导干部用车0辆、机要通信用车0辆、应急保障用车0辆、其他用车0辆，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1C45DD" w:rsidRDefault="00CA7826">
      <w:pPr>
        <w:numPr>
          <w:ilvl w:val="0"/>
          <w:numId w:val="3"/>
        </w:num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预算绩效管理情况。</w:t>
      </w:r>
    </w:p>
    <w:p w:rsidR="001C45DD" w:rsidRDefault="00CA78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18个项目开展了预算事前绩效评估，对18个项目编制了绩效目标，预算执行过程中，选取5个项目开展绩效监控，年终执行完毕后，对5个项目开展了绩效目标完成情况自评。</w:t>
      </w:r>
    </w:p>
    <w:p w:rsidR="001C45DD" w:rsidRDefault="00CA78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rsidR="001C45DD" w:rsidRDefault="00CA7826">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本部门在2019年度部门决算中反映“地质灾害隐患点专职监测补助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，“高新区总部经济区地下管线综合专项规划编制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，“森林防火工作经费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，“国土专线邮电费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，“地质灾害群测群防体系维护费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等5个项目绩效目标实际完成情况。</w:t>
      </w:r>
    </w:p>
    <w:p w:rsidR="001C45DD" w:rsidRDefault="00CA78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地质灾害隐患点专职监测补助项目绩效目标完成情况综述。该项目全年预算数0.15万元，执行数为0.15万元，完成预算的100%。通过项目实施，完成对园区的地质灾害隐患点监测预警，做到如有地质灾害发生时能及时知道并作出应对方案，确保人民群众生命财产安全。</w:t>
      </w:r>
    </w:p>
    <w:p w:rsidR="001C45DD" w:rsidRDefault="00CA7826">
      <w:pPr>
        <w:spacing w:line="580" w:lineRule="exact"/>
        <w:ind w:firstLineChars="200" w:firstLine="640"/>
        <w:rPr>
          <w:rFonts w:ascii="仿宋_GB2312" w:hAnsi="仿宋_GB2312" w:cs="仿宋_GB2312"/>
          <w:sz w:val="32"/>
          <w:szCs w:val="32"/>
        </w:rPr>
      </w:pPr>
      <w:r>
        <w:rPr>
          <w:rFonts w:ascii="仿宋_GB2312" w:eastAsia="仿宋_GB2312" w:hAnsi="仿宋_GB2312" w:cs="仿宋_GB2312" w:hint="eastAsia"/>
          <w:sz w:val="32"/>
          <w:szCs w:val="32"/>
        </w:rPr>
        <w:t>（2）高新区总部经济区地下管线综合专项规划编制项目绩效目标完成情况综述。项目总预算48万元，本年度预算数13.94万元，执行数为13.94万元，完成预算的100%。通过项目实施，完成本年度高新区总部经济区地下管道规划编制工作。</w:t>
      </w:r>
    </w:p>
    <w:p w:rsidR="001C45DD" w:rsidRDefault="00CA7826">
      <w:pPr>
        <w:spacing w:line="580" w:lineRule="exact"/>
        <w:ind w:firstLineChars="200" w:firstLine="640"/>
        <w:rPr>
          <w:rFonts w:ascii="仿宋_GB2312" w:hAnsi="仿宋_GB2312" w:cs="仿宋_GB2312"/>
          <w:sz w:val="32"/>
          <w:szCs w:val="32"/>
        </w:rPr>
      </w:pPr>
      <w:r>
        <w:rPr>
          <w:rFonts w:ascii="仿宋_GB2312" w:eastAsia="仿宋_GB2312" w:hAnsi="仿宋_GB2312" w:cs="仿宋_GB2312" w:hint="eastAsia"/>
          <w:sz w:val="32"/>
          <w:szCs w:val="32"/>
        </w:rPr>
        <w:t>（3）森林防火工作经费项目绩效目标完成情况综述。项目全年预算数7.26万元，执行数为7.26万元，完成预算的100%。通过项目实施，完成森林防火工作。</w:t>
      </w:r>
    </w:p>
    <w:p w:rsidR="001C45DD" w:rsidRDefault="00CA7826">
      <w:pPr>
        <w:spacing w:line="580" w:lineRule="exact"/>
        <w:ind w:firstLineChars="200" w:firstLine="640"/>
        <w:rPr>
          <w:rFonts w:ascii="仿宋_GB2312" w:hAnsi="仿宋_GB2312" w:cs="仿宋_GB2312"/>
          <w:sz w:val="32"/>
          <w:szCs w:val="32"/>
        </w:rPr>
      </w:pPr>
      <w:r>
        <w:rPr>
          <w:rFonts w:ascii="仿宋_GB2312" w:eastAsia="仿宋_GB2312" w:hAnsi="仿宋_GB2312" w:cs="仿宋_GB2312" w:hint="eastAsia"/>
          <w:sz w:val="32"/>
          <w:szCs w:val="32"/>
        </w:rPr>
        <w:t>（4）国土专线邮电费项目绩效目标完成情况综述。项目全年预算数1.44万元，执行数为1.44万元，完成预算的100%。通过项目实施，本单位积极配合做好全市自然资源系统主干网建设，确保数据传输准确、及时。</w:t>
      </w:r>
    </w:p>
    <w:p w:rsidR="001C45DD" w:rsidRDefault="00CA78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（5）“地质灾害群测群防体系维护费”项目绩效目标</w:t>
      </w:r>
      <w:r>
        <w:rPr>
          <w:rFonts w:ascii="仿宋_GB2312" w:eastAsia="仿宋_GB2312" w:hAnsi="仿宋_GB2312" w:cs="仿宋_GB2312" w:hint="eastAsia"/>
          <w:sz w:val="32"/>
          <w:szCs w:val="32"/>
        </w:rPr>
        <w:lastRenderedPageBreak/>
        <w:t>完成情况综述。项目全年预算数1.08万元，执行数为1.08万元，完成预算的100%。通过项目实施，完成地质灾害群测群防体系维护。</w:t>
      </w:r>
    </w:p>
    <w:p w:rsidR="001C45DD" w:rsidRDefault="001C45DD">
      <w:pPr>
        <w:spacing w:line="580" w:lineRule="exact"/>
        <w:ind w:firstLineChars="200" w:firstLine="640"/>
        <w:rPr>
          <w:rFonts w:ascii="仿宋_GB2312" w:eastAsia="仿宋_GB2312" w:hAnsi="仿宋_GB2312" w:cs="仿宋_GB2312"/>
          <w:sz w:val="32"/>
          <w:szCs w:val="32"/>
        </w:rPr>
      </w:pPr>
    </w:p>
    <w:p w:rsidR="001C45DD" w:rsidRDefault="001C45DD">
      <w:pPr>
        <w:spacing w:line="580" w:lineRule="exact"/>
        <w:ind w:firstLineChars="200" w:firstLine="640"/>
        <w:rPr>
          <w:rFonts w:ascii="仿宋_GB2312" w:eastAsia="仿宋_GB2312" w:hAnsi="仿宋_GB2312" w:cs="仿宋_GB2312"/>
          <w:sz w:val="32"/>
          <w:szCs w:val="32"/>
        </w:rPr>
      </w:pPr>
    </w:p>
    <w:p w:rsidR="001C45DD" w:rsidRDefault="001C45DD">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85"/>
        <w:gridCol w:w="1332"/>
        <w:gridCol w:w="17"/>
        <w:gridCol w:w="984"/>
        <w:gridCol w:w="29"/>
        <w:gridCol w:w="38"/>
        <w:gridCol w:w="30"/>
        <w:gridCol w:w="2238"/>
        <w:gridCol w:w="57"/>
        <w:gridCol w:w="2279"/>
        <w:gridCol w:w="85"/>
        <w:gridCol w:w="2367"/>
        <w:gridCol w:w="119"/>
      </w:tblGrid>
      <w:tr w:rsidR="001C45DD">
        <w:trPr>
          <w:gridAfter w:val="1"/>
          <w:wAfter w:w="120" w:type="dxa"/>
          <w:trHeight w:val="1034"/>
          <w:jc w:val="center"/>
        </w:trPr>
        <w:tc>
          <w:tcPr>
            <w:tcW w:w="9960" w:type="dxa"/>
            <w:gridSpan w:val="12"/>
            <w:tcBorders>
              <w:top w:val="nil"/>
              <w:left w:val="nil"/>
              <w:bottom w:val="nil"/>
              <w:right w:val="nil"/>
            </w:tcBorders>
            <w:tcMar>
              <w:top w:w="15" w:type="dxa"/>
              <w:left w:w="15" w:type="dxa"/>
              <w:right w:w="15" w:type="dxa"/>
            </w:tcMar>
            <w:vAlign w:val="center"/>
          </w:tcPr>
          <w:p w:rsidR="001C45DD" w:rsidRDefault="00CA7826">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1C45DD">
        <w:trPr>
          <w:gridAfter w:val="1"/>
          <w:wAfter w:w="120" w:type="dxa"/>
          <w:trHeight w:val="276"/>
          <w:jc w:val="center"/>
        </w:trPr>
        <w:tc>
          <w:tcPr>
            <w:tcW w:w="274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212"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地质灾害隐患点专职监测补助</w:t>
            </w:r>
          </w:p>
        </w:tc>
      </w:tr>
      <w:tr w:rsidR="001C45DD">
        <w:trPr>
          <w:gridAfter w:val="1"/>
          <w:wAfter w:w="120" w:type="dxa"/>
          <w:trHeight w:val="276"/>
          <w:jc w:val="center"/>
        </w:trPr>
        <w:tc>
          <w:tcPr>
            <w:tcW w:w="274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212"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ED16AE">
            <w:pPr>
              <w:widowControl/>
              <w:jc w:val="center"/>
              <w:textAlignment w:val="center"/>
              <w:rPr>
                <w:rFonts w:ascii="宋体" w:hAnsi="宋体" w:cs="宋体"/>
                <w:color w:val="000000"/>
                <w:sz w:val="24"/>
              </w:rPr>
            </w:pPr>
            <w:r w:rsidRPr="00ED16AE">
              <w:rPr>
                <w:rFonts w:ascii="宋体" w:hAnsi="宋体" w:cs="宋体" w:hint="eastAsia"/>
                <w:color w:val="000000"/>
                <w:sz w:val="24"/>
              </w:rPr>
              <w:t>乐山市自然资源局高新区分局</w:t>
            </w:r>
          </w:p>
        </w:tc>
      </w:tr>
      <w:tr w:rsidR="001C45DD">
        <w:trPr>
          <w:gridAfter w:val="1"/>
          <w:wAfter w:w="120" w:type="dxa"/>
          <w:trHeight w:val="276"/>
          <w:jc w:val="center"/>
        </w:trPr>
        <w:tc>
          <w:tcPr>
            <w:tcW w:w="3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6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0.15</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0.15</w:t>
            </w:r>
          </w:p>
        </w:tc>
      </w:tr>
      <w:tr w:rsidR="001C45DD">
        <w:trPr>
          <w:gridAfter w:val="1"/>
          <w:wAfter w:w="120" w:type="dxa"/>
          <w:trHeight w:val="276"/>
          <w:jc w:val="center"/>
        </w:trPr>
        <w:tc>
          <w:tcPr>
            <w:tcW w:w="3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23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6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0.15</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0.15</w:t>
            </w:r>
          </w:p>
        </w:tc>
      </w:tr>
      <w:tr w:rsidR="001C45DD">
        <w:trPr>
          <w:gridAfter w:val="1"/>
          <w:wAfter w:w="120" w:type="dxa"/>
          <w:trHeight w:val="1511"/>
          <w:jc w:val="center"/>
        </w:trPr>
        <w:tc>
          <w:tcPr>
            <w:tcW w:w="3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23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6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jc w:val="center"/>
              <w:rPr>
                <w:rFonts w:ascii="宋体" w:hAnsi="宋体" w:cs="宋体"/>
                <w:color w:val="000000"/>
                <w:sz w:val="24"/>
              </w:rPr>
            </w:pPr>
            <w:r>
              <w:rPr>
                <w:rFonts w:ascii="宋体" w:hAnsi="宋体" w:cs="宋体" w:hint="eastAsia"/>
                <w:color w:val="000000"/>
                <w:sz w:val="24"/>
              </w:rPr>
              <w:t>0</w:t>
            </w:r>
          </w:p>
        </w:tc>
      </w:tr>
      <w:tr w:rsidR="001C45DD">
        <w:trPr>
          <w:gridAfter w:val="1"/>
          <w:wAfter w:w="120" w:type="dxa"/>
          <w:trHeight w:val="276"/>
          <w:jc w:val="center"/>
        </w:trPr>
        <w:tc>
          <w:tcPr>
            <w:tcW w:w="3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26"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84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C45DD">
        <w:trPr>
          <w:gridAfter w:val="1"/>
          <w:wAfter w:w="120" w:type="dxa"/>
          <w:trHeight w:val="1159"/>
          <w:jc w:val="center"/>
        </w:trPr>
        <w:tc>
          <w:tcPr>
            <w:tcW w:w="3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4726"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为确保人民群众生命财产安全，对全区地质灾害隐患点配备了专职监测员，并要求专职监测员切实履行职责，加强日常监测巡查，认真填写监测记录，有险情及时报告。</w:t>
            </w:r>
          </w:p>
        </w:tc>
        <w:tc>
          <w:tcPr>
            <w:tcW w:w="484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为确保人民群众生命财产安全，对全区地质灾害隐患点配备了专职监测员，并要求专职监测员切实履行职责，加强日常监测巡查，认真填写监测记录，有险情及时报告。</w:t>
            </w:r>
          </w:p>
        </w:tc>
      </w:tr>
      <w:tr w:rsidR="001C45DD">
        <w:trPr>
          <w:gridAfter w:val="1"/>
          <w:wAfter w:w="120" w:type="dxa"/>
          <w:trHeight w:val="1042"/>
          <w:jc w:val="center"/>
        </w:trPr>
        <w:tc>
          <w:tcPr>
            <w:tcW w:w="38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C45DD">
        <w:trPr>
          <w:gridAfter w:val="1"/>
          <w:wAfter w:w="120" w:type="dxa"/>
          <w:trHeight w:val="953"/>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项目完成</w:t>
            </w:r>
          </w:p>
        </w:tc>
        <w:tc>
          <w:tcPr>
            <w:tcW w:w="1080"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指标1：监测次数</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36次</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36次</w:t>
            </w:r>
          </w:p>
        </w:tc>
      </w:tr>
      <w:tr w:rsidR="001C45DD">
        <w:trPr>
          <w:gridAfter w:val="1"/>
          <w:wAfter w:w="120" w:type="dxa"/>
          <w:trHeight w:val="1297"/>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1080"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指标2：上传数据频次</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3次/月</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3次/月</w:t>
            </w:r>
          </w:p>
        </w:tc>
      </w:tr>
      <w:tr w:rsidR="001C45DD">
        <w:trPr>
          <w:gridAfter w:val="1"/>
          <w:wAfter w:w="120" w:type="dxa"/>
          <w:trHeight w:val="1042"/>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指标1：上传数据质量</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加强日常监测巡查，有险情及时报告</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加强日常监测巡查，有险情及时报告</w:t>
            </w:r>
          </w:p>
        </w:tc>
      </w:tr>
      <w:tr w:rsidR="001C45DD">
        <w:trPr>
          <w:gridAfter w:val="1"/>
          <w:wAfter w:w="120" w:type="dxa"/>
          <w:trHeight w:val="1042"/>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kern w:val="0"/>
                <w:sz w:val="24"/>
              </w:rPr>
            </w:pP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指标1：完成时间</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2019年底</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2019年底</w:t>
            </w:r>
          </w:p>
        </w:tc>
      </w:tr>
      <w:tr w:rsidR="001C45DD">
        <w:trPr>
          <w:gridAfter w:val="1"/>
          <w:wAfter w:w="120" w:type="dxa"/>
          <w:trHeight w:val="1042"/>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指标1：监测补助</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监测补助费用全年1500元</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监测补助费用全年1500元</w:t>
            </w:r>
          </w:p>
        </w:tc>
      </w:tr>
      <w:tr w:rsidR="001C45DD">
        <w:trPr>
          <w:gridAfter w:val="1"/>
          <w:wAfter w:w="120" w:type="dxa"/>
          <w:trHeight w:val="1297"/>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jc w:val="center"/>
              <w:rPr>
                <w:rFonts w:ascii="宋体" w:hAnsi="宋体" w:cs="宋体"/>
                <w:color w:val="000000"/>
                <w:sz w:val="24"/>
              </w:rPr>
            </w:pPr>
            <w:r>
              <w:rPr>
                <w:rFonts w:ascii="宋体" w:hAnsi="宋体" w:cs="宋体" w:hint="eastAsia"/>
                <w:color w:val="000000"/>
                <w:sz w:val="24"/>
              </w:rPr>
              <w:t>效益指标</w:t>
            </w: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t>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指标1：对隐患点监测预警</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加强日常监测巡查，有险情及时报告，确保群众安全</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加强日常监测巡查，有险情及时报告，确保群众安全</w:t>
            </w:r>
          </w:p>
        </w:tc>
      </w:tr>
      <w:tr w:rsidR="001C45DD">
        <w:trPr>
          <w:gridAfter w:val="1"/>
          <w:wAfter w:w="120" w:type="dxa"/>
          <w:trHeight w:val="1297"/>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kern w:val="0"/>
                <w:sz w:val="24"/>
              </w:rPr>
            </w:pP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t>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r>
      <w:tr w:rsidR="001C45DD">
        <w:trPr>
          <w:gridAfter w:val="1"/>
          <w:wAfter w:w="120" w:type="dxa"/>
          <w:trHeight w:val="1050"/>
          <w:jc w:val="center"/>
        </w:trPr>
        <w:tc>
          <w:tcPr>
            <w:tcW w:w="38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t>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r>
      <w:tr w:rsidR="001C45DD">
        <w:trPr>
          <w:gridAfter w:val="1"/>
          <w:wAfter w:w="120" w:type="dxa"/>
          <w:trHeight w:val="1034"/>
          <w:jc w:val="center"/>
        </w:trPr>
        <w:tc>
          <w:tcPr>
            <w:tcW w:w="9960" w:type="dxa"/>
            <w:gridSpan w:val="12"/>
            <w:tcBorders>
              <w:top w:val="nil"/>
              <w:left w:val="nil"/>
              <w:bottom w:val="nil"/>
              <w:right w:val="nil"/>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1C45DD">
        <w:trPr>
          <w:gridAfter w:val="1"/>
          <w:wAfter w:w="120" w:type="dxa"/>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高新区总部经济区地下管线综合专项规划编制</w:t>
            </w:r>
          </w:p>
        </w:tc>
      </w:tr>
      <w:tr w:rsidR="001C45DD">
        <w:trPr>
          <w:gridAfter w:val="1"/>
          <w:wAfter w:w="120" w:type="dxa"/>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ED16AE">
            <w:pPr>
              <w:widowControl/>
              <w:jc w:val="center"/>
              <w:textAlignment w:val="center"/>
              <w:rPr>
                <w:rFonts w:ascii="宋体" w:hAnsi="宋体" w:cs="宋体"/>
                <w:color w:val="000000"/>
                <w:sz w:val="24"/>
              </w:rPr>
            </w:pPr>
            <w:r w:rsidRPr="00ED16AE">
              <w:rPr>
                <w:rFonts w:ascii="宋体" w:hAnsi="宋体" w:cs="宋体" w:hint="eastAsia"/>
                <w:color w:val="000000"/>
                <w:sz w:val="24"/>
              </w:rPr>
              <w:t>乐山市自然资源局高新区分局</w:t>
            </w:r>
          </w:p>
        </w:tc>
      </w:tr>
      <w:tr w:rsidR="001C45DD">
        <w:trPr>
          <w:gridAfter w:val="1"/>
          <w:wAfter w:w="120" w:type="dxa"/>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13.94</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13.94</w:t>
            </w:r>
          </w:p>
        </w:tc>
      </w:tr>
      <w:tr w:rsidR="001C45DD">
        <w:trPr>
          <w:gridAfter w:val="1"/>
          <w:wAfter w:w="120" w:type="dxa"/>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13.94</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13.94</w:t>
            </w:r>
          </w:p>
        </w:tc>
      </w:tr>
      <w:tr w:rsidR="001C45DD">
        <w:trPr>
          <w:gridAfter w:val="1"/>
          <w:wAfter w:w="120" w:type="dxa"/>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jc w:val="center"/>
              <w:rPr>
                <w:rFonts w:ascii="宋体" w:hAnsi="宋体" w:cs="宋体"/>
                <w:color w:val="000000"/>
                <w:sz w:val="24"/>
              </w:rPr>
            </w:pPr>
            <w:r>
              <w:rPr>
                <w:rFonts w:ascii="宋体" w:hAnsi="宋体" w:cs="宋体" w:hint="eastAsia"/>
                <w:color w:val="000000"/>
                <w:sz w:val="24"/>
              </w:rPr>
              <w:t>0</w:t>
            </w:r>
          </w:p>
        </w:tc>
      </w:tr>
      <w:tr w:rsidR="001C45DD">
        <w:trPr>
          <w:gridAfter w:val="1"/>
          <w:wAfter w:w="120" w:type="dxa"/>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C45DD">
        <w:trPr>
          <w:gridAfter w:val="1"/>
          <w:wAfter w:w="120" w:type="dxa"/>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4784"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完成拆迁工作</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完成拆迁工作</w:t>
            </w:r>
          </w:p>
        </w:tc>
      </w:tr>
      <w:tr w:rsidR="001C45DD">
        <w:trPr>
          <w:gridAfter w:val="1"/>
          <w:wAfter w:w="120" w:type="dxa"/>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C45DD">
        <w:trPr>
          <w:gridAfter w:val="1"/>
          <w:wAfter w:w="120" w:type="dxa"/>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1C45DD">
        <w:trPr>
          <w:gridAfter w:val="1"/>
          <w:wAfter w:w="120" w:type="dxa"/>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1C45DD">
        <w:trPr>
          <w:gridAfter w:val="1"/>
          <w:wAfter w:w="120" w:type="dxa"/>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指标1：完成时间</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2019年底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2019年底</w:t>
            </w:r>
          </w:p>
        </w:tc>
      </w:tr>
      <w:tr w:rsidR="001C45DD">
        <w:trPr>
          <w:gridAfter w:val="1"/>
          <w:wAfter w:w="120" w:type="dxa"/>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指标1：规划编制</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委托业务费13.94万元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委托业务费13.94万元</w:t>
            </w:r>
          </w:p>
        </w:tc>
      </w:tr>
      <w:tr w:rsidR="001C45DD">
        <w:trPr>
          <w:gridAfter w:val="1"/>
          <w:wAfter w:w="120" w:type="dxa"/>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t>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w:t>
            </w:r>
            <w:r>
              <w:rPr>
                <w:rFonts w:ascii="宋体" w:hAnsi="宋体" w:cs="宋体" w:hint="eastAsia"/>
                <w:color w:val="000000"/>
                <w:sz w:val="24"/>
              </w:rPr>
              <w:t>完成地下管道规划编制</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完成地下管道规划编制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完成地下管道规划编制</w:t>
            </w:r>
          </w:p>
        </w:tc>
      </w:tr>
      <w:tr w:rsidR="001C45DD">
        <w:trPr>
          <w:gridAfter w:val="1"/>
          <w:wAfter w:w="120" w:type="dxa"/>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t>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r>
      <w:tr w:rsidR="001C45DD">
        <w:trPr>
          <w:gridAfter w:val="1"/>
          <w:wAfter w:w="120" w:type="dxa"/>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t>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r>
      <w:tr w:rsidR="001C45DD">
        <w:trPr>
          <w:gridAfter w:val="1"/>
          <w:wAfter w:w="120" w:type="dxa"/>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主管部门满意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主管部门满意</w:t>
            </w:r>
          </w:p>
        </w:tc>
      </w:tr>
      <w:tr w:rsidR="001C45DD">
        <w:trPr>
          <w:gridAfter w:val="1"/>
          <w:wAfter w:w="120" w:type="dxa"/>
          <w:trHeight w:val="1034"/>
          <w:jc w:val="center"/>
        </w:trPr>
        <w:tc>
          <w:tcPr>
            <w:tcW w:w="9960" w:type="dxa"/>
            <w:gridSpan w:val="12"/>
            <w:tcBorders>
              <w:top w:val="nil"/>
              <w:left w:val="nil"/>
              <w:bottom w:val="nil"/>
              <w:right w:val="nil"/>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1C45DD">
        <w:trPr>
          <w:gridAfter w:val="1"/>
          <w:wAfter w:w="120" w:type="dxa"/>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森林防火工作经费</w:t>
            </w:r>
          </w:p>
        </w:tc>
      </w:tr>
      <w:tr w:rsidR="001C45DD">
        <w:trPr>
          <w:gridAfter w:val="1"/>
          <w:wAfter w:w="120" w:type="dxa"/>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ED16AE">
            <w:pPr>
              <w:widowControl/>
              <w:jc w:val="center"/>
              <w:textAlignment w:val="center"/>
              <w:rPr>
                <w:rFonts w:ascii="宋体" w:hAnsi="宋体" w:cs="宋体"/>
                <w:color w:val="000000"/>
                <w:sz w:val="24"/>
              </w:rPr>
            </w:pPr>
            <w:r w:rsidRPr="00ED16AE">
              <w:rPr>
                <w:rFonts w:ascii="宋体" w:hAnsi="宋体" w:cs="宋体" w:hint="eastAsia"/>
                <w:color w:val="000000"/>
                <w:sz w:val="24"/>
              </w:rPr>
              <w:t>乐山市自然资源局高新区分局</w:t>
            </w:r>
          </w:p>
        </w:tc>
      </w:tr>
      <w:tr w:rsidR="001C45DD">
        <w:trPr>
          <w:gridAfter w:val="1"/>
          <w:wAfter w:w="120" w:type="dxa"/>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7.26</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7.26</w:t>
            </w:r>
          </w:p>
        </w:tc>
      </w:tr>
      <w:tr w:rsidR="001C45DD">
        <w:trPr>
          <w:gridAfter w:val="1"/>
          <w:wAfter w:w="120" w:type="dxa"/>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7.26</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7.26</w:t>
            </w:r>
          </w:p>
        </w:tc>
      </w:tr>
      <w:tr w:rsidR="001C45DD">
        <w:trPr>
          <w:gridAfter w:val="1"/>
          <w:wAfter w:w="120" w:type="dxa"/>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jc w:val="center"/>
              <w:rPr>
                <w:rFonts w:ascii="宋体" w:hAnsi="宋体" w:cs="宋体"/>
                <w:color w:val="000000"/>
                <w:sz w:val="24"/>
              </w:rPr>
            </w:pPr>
            <w:r>
              <w:rPr>
                <w:rFonts w:ascii="宋体" w:hAnsi="宋体" w:cs="宋体" w:hint="eastAsia"/>
                <w:color w:val="000000"/>
                <w:sz w:val="24"/>
              </w:rPr>
              <w:t>0</w:t>
            </w:r>
          </w:p>
        </w:tc>
      </w:tr>
      <w:tr w:rsidR="001C45DD">
        <w:trPr>
          <w:gridAfter w:val="1"/>
          <w:wAfter w:w="120" w:type="dxa"/>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C45DD">
        <w:trPr>
          <w:gridAfter w:val="1"/>
          <w:wAfter w:w="120" w:type="dxa"/>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4784"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完成森林防火工作</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完成森林防火工作</w:t>
            </w:r>
          </w:p>
        </w:tc>
      </w:tr>
      <w:tr w:rsidR="001C45DD">
        <w:trPr>
          <w:gridAfter w:val="1"/>
          <w:wAfter w:w="120" w:type="dxa"/>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C45DD">
        <w:trPr>
          <w:gridAfter w:val="1"/>
          <w:wAfter w:w="120" w:type="dxa"/>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无</w:t>
            </w:r>
          </w:p>
        </w:tc>
      </w:tr>
      <w:tr w:rsidR="001C45DD">
        <w:trPr>
          <w:gridAfter w:val="1"/>
          <w:wAfter w:w="120" w:type="dxa"/>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1C45DD">
        <w:trPr>
          <w:gridAfter w:val="1"/>
          <w:wAfter w:w="120" w:type="dxa"/>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指标1：完成时间</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2019年底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2019年底</w:t>
            </w:r>
          </w:p>
        </w:tc>
      </w:tr>
      <w:tr w:rsidR="001C45DD">
        <w:trPr>
          <w:gridAfter w:val="1"/>
          <w:wAfter w:w="120" w:type="dxa"/>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指标1：经费</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完成森林防火工作经费户72600.00元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完成森林防火工作经费户72600.00元</w:t>
            </w:r>
          </w:p>
        </w:tc>
      </w:tr>
      <w:tr w:rsidR="001C45DD">
        <w:trPr>
          <w:gridAfter w:val="1"/>
          <w:wAfter w:w="120" w:type="dxa"/>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t>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w:t>
            </w:r>
            <w:r>
              <w:rPr>
                <w:rFonts w:ascii="宋体" w:hAnsi="宋体" w:cs="宋体" w:hint="eastAsia"/>
                <w:color w:val="000000"/>
                <w:sz w:val="24"/>
              </w:rPr>
              <w:t>完成森林防火工作</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完成森林防火工作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完成森林防火工作</w:t>
            </w:r>
          </w:p>
        </w:tc>
      </w:tr>
      <w:tr w:rsidR="001C45DD">
        <w:trPr>
          <w:gridAfter w:val="1"/>
          <w:wAfter w:w="120" w:type="dxa"/>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t>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r>
      <w:tr w:rsidR="001C45DD">
        <w:trPr>
          <w:gridAfter w:val="1"/>
          <w:wAfter w:w="120" w:type="dxa"/>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t>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r>
      <w:tr w:rsidR="001C45DD">
        <w:trPr>
          <w:gridAfter w:val="1"/>
          <w:wAfter w:w="120" w:type="dxa"/>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widowControl/>
              <w:jc w:val="center"/>
              <w:textAlignment w:val="center"/>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指标1：群众满意</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群众满意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群众满意</w:t>
            </w:r>
          </w:p>
        </w:tc>
      </w:tr>
      <w:tr w:rsidR="001C45DD">
        <w:trPr>
          <w:gridAfter w:val="1"/>
          <w:wAfter w:w="120" w:type="dxa"/>
          <w:trHeight w:val="1034"/>
          <w:jc w:val="center"/>
        </w:trPr>
        <w:tc>
          <w:tcPr>
            <w:tcW w:w="9960" w:type="dxa"/>
            <w:gridSpan w:val="12"/>
            <w:tcBorders>
              <w:top w:val="nil"/>
              <w:left w:val="nil"/>
              <w:bottom w:val="nil"/>
              <w:right w:val="nil"/>
            </w:tcBorders>
            <w:tcMar>
              <w:top w:w="15" w:type="dxa"/>
              <w:left w:w="15" w:type="dxa"/>
              <w:right w:w="15" w:type="dxa"/>
            </w:tcMar>
            <w:vAlign w:val="center"/>
          </w:tcPr>
          <w:p w:rsidR="001C45DD" w:rsidRDefault="00CA7826">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1C45DD">
        <w:trPr>
          <w:gridAfter w:val="1"/>
          <w:wAfter w:w="120" w:type="dxa"/>
          <w:trHeight w:val="276"/>
          <w:jc w:val="center"/>
        </w:trPr>
        <w:tc>
          <w:tcPr>
            <w:tcW w:w="274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212"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国土专线邮电费</w:t>
            </w:r>
          </w:p>
        </w:tc>
      </w:tr>
      <w:tr w:rsidR="001C45DD">
        <w:trPr>
          <w:gridAfter w:val="1"/>
          <w:wAfter w:w="120" w:type="dxa"/>
          <w:trHeight w:val="276"/>
          <w:jc w:val="center"/>
        </w:trPr>
        <w:tc>
          <w:tcPr>
            <w:tcW w:w="274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212"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ED16AE">
            <w:pPr>
              <w:widowControl/>
              <w:jc w:val="center"/>
              <w:textAlignment w:val="center"/>
              <w:rPr>
                <w:rFonts w:ascii="宋体" w:hAnsi="宋体" w:cs="宋体"/>
                <w:color w:val="000000"/>
                <w:sz w:val="24"/>
              </w:rPr>
            </w:pPr>
            <w:r w:rsidRPr="00ED16AE">
              <w:rPr>
                <w:rFonts w:ascii="宋体" w:hAnsi="宋体" w:cs="宋体" w:hint="eastAsia"/>
                <w:color w:val="000000"/>
                <w:sz w:val="24"/>
              </w:rPr>
              <w:t>乐山市自然资源局高新区分局</w:t>
            </w:r>
          </w:p>
        </w:tc>
      </w:tr>
      <w:tr w:rsidR="001C45DD">
        <w:trPr>
          <w:gridAfter w:val="1"/>
          <w:wAfter w:w="120" w:type="dxa"/>
          <w:trHeight w:val="276"/>
          <w:jc w:val="center"/>
        </w:trPr>
        <w:tc>
          <w:tcPr>
            <w:tcW w:w="3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6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1.44</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1.44</w:t>
            </w:r>
          </w:p>
        </w:tc>
      </w:tr>
      <w:tr w:rsidR="001C45DD">
        <w:trPr>
          <w:gridAfter w:val="1"/>
          <w:wAfter w:w="120" w:type="dxa"/>
          <w:trHeight w:val="276"/>
          <w:jc w:val="center"/>
        </w:trPr>
        <w:tc>
          <w:tcPr>
            <w:tcW w:w="3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23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6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1.44</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1.44</w:t>
            </w:r>
          </w:p>
        </w:tc>
      </w:tr>
      <w:tr w:rsidR="001C45DD">
        <w:trPr>
          <w:gridAfter w:val="1"/>
          <w:wAfter w:w="120" w:type="dxa"/>
          <w:trHeight w:val="1511"/>
          <w:jc w:val="center"/>
        </w:trPr>
        <w:tc>
          <w:tcPr>
            <w:tcW w:w="3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23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6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jc w:val="center"/>
              <w:rPr>
                <w:rFonts w:ascii="宋体" w:hAnsi="宋体" w:cs="宋体"/>
                <w:color w:val="000000"/>
                <w:sz w:val="24"/>
              </w:rPr>
            </w:pPr>
            <w:r>
              <w:rPr>
                <w:rFonts w:ascii="宋体" w:hAnsi="宋体" w:cs="宋体" w:hint="eastAsia"/>
                <w:color w:val="000000"/>
                <w:sz w:val="24"/>
              </w:rPr>
              <w:t>0</w:t>
            </w:r>
          </w:p>
        </w:tc>
      </w:tr>
      <w:tr w:rsidR="001C45DD">
        <w:trPr>
          <w:gridAfter w:val="1"/>
          <w:wAfter w:w="120" w:type="dxa"/>
          <w:trHeight w:val="276"/>
          <w:jc w:val="center"/>
        </w:trPr>
        <w:tc>
          <w:tcPr>
            <w:tcW w:w="3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26"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84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C45DD">
        <w:trPr>
          <w:gridAfter w:val="1"/>
          <w:wAfter w:w="120" w:type="dxa"/>
          <w:trHeight w:val="1159"/>
          <w:jc w:val="center"/>
        </w:trPr>
        <w:tc>
          <w:tcPr>
            <w:tcW w:w="3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4726"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积极配合做好全市国土资源系统主干网建设，确保数据传输准确、及时。</w:t>
            </w:r>
          </w:p>
        </w:tc>
        <w:tc>
          <w:tcPr>
            <w:tcW w:w="484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积极配合做好全市国土资源系统主干网建设，确保数据传输准确、及时。</w:t>
            </w:r>
          </w:p>
        </w:tc>
      </w:tr>
      <w:tr w:rsidR="001C45DD">
        <w:trPr>
          <w:gridAfter w:val="1"/>
          <w:wAfter w:w="120" w:type="dxa"/>
          <w:trHeight w:val="1042"/>
          <w:jc w:val="center"/>
        </w:trPr>
        <w:tc>
          <w:tcPr>
            <w:tcW w:w="38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C45DD">
        <w:trPr>
          <w:gridAfter w:val="1"/>
          <w:wAfter w:w="120" w:type="dxa"/>
          <w:trHeight w:val="953"/>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项目完成</w:t>
            </w:r>
          </w:p>
        </w:tc>
        <w:tc>
          <w:tcPr>
            <w:tcW w:w="1080"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指标1：上传数据次数</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36次</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36次</w:t>
            </w:r>
          </w:p>
        </w:tc>
      </w:tr>
      <w:tr w:rsidR="001C45DD">
        <w:trPr>
          <w:gridAfter w:val="1"/>
          <w:wAfter w:w="120" w:type="dxa"/>
          <w:trHeight w:val="1297"/>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1080"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指标2：上传数据频次</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3次/月</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3次/月</w:t>
            </w:r>
          </w:p>
        </w:tc>
      </w:tr>
      <w:tr w:rsidR="001C45DD">
        <w:trPr>
          <w:gridAfter w:val="1"/>
          <w:wAfter w:w="120" w:type="dxa"/>
          <w:trHeight w:val="1042"/>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指标1：上传数据质量</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确保上传数据完整、准确</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确保上传数据完整、准确</w:t>
            </w:r>
          </w:p>
        </w:tc>
      </w:tr>
      <w:tr w:rsidR="001C45DD">
        <w:trPr>
          <w:gridAfter w:val="1"/>
          <w:wAfter w:w="120" w:type="dxa"/>
          <w:trHeight w:val="1042"/>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kern w:val="0"/>
                <w:sz w:val="24"/>
              </w:rPr>
            </w:pP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指标1：完成时间</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2019年底</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2019年底</w:t>
            </w:r>
          </w:p>
        </w:tc>
      </w:tr>
      <w:tr w:rsidR="001C45DD">
        <w:trPr>
          <w:gridAfter w:val="1"/>
          <w:wAfter w:w="120" w:type="dxa"/>
          <w:trHeight w:val="1042"/>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指标1：邮电费</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主干网线路租赁费用为1200元/月/线路</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主干网线路租赁费用为1200元/月/线路</w:t>
            </w:r>
          </w:p>
        </w:tc>
      </w:tr>
      <w:tr w:rsidR="001C45DD">
        <w:trPr>
          <w:gridAfter w:val="1"/>
          <w:wAfter w:w="120" w:type="dxa"/>
          <w:trHeight w:val="1297"/>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jc w:val="center"/>
              <w:rPr>
                <w:rFonts w:ascii="宋体" w:hAnsi="宋体" w:cs="宋体"/>
                <w:color w:val="000000"/>
                <w:sz w:val="24"/>
              </w:rPr>
            </w:pPr>
            <w:r>
              <w:rPr>
                <w:rFonts w:ascii="宋体" w:hAnsi="宋体" w:cs="宋体" w:hint="eastAsia"/>
                <w:color w:val="000000"/>
                <w:sz w:val="24"/>
              </w:rPr>
              <w:t>效益指标</w:t>
            </w: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t>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指标1：确保数据传输畅通</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确保数据传输畅通</w:t>
            </w: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确保数据传输畅通</w:t>
            </w:r>
          </w:p>
        </w:tc>
      </w:tr>
      <w:tr w:rsidR="001C45DD">
        <w:trPr>
          <w:gridAfter w:val="1"/>
          <w:wAfter w:w="120" w:type="dxa"/>
          <w:trHeight w:val="1297"/>
          <w:jc w:val="center"/>
        </w:trPr>
        <w:tc>
          <w:tcPr>
            <w:tcW w:w="385" w:type="dxa"/>
            <w:vMerge/>
            <w:tcBorders>
              <w:left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kern w:val="0"/>
                <w:sz w:val="24"/>
              </w:rPr>
            </w:pP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t>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r>
      <w:tr w:rsidR="001C45DD">
        <w:trPr>
          <w:gridAfter w:val="1"/>
          <w:wAfter w:w="120" w:type="dxa"/>
          <w:trHeight w:val="1050"/>
          <w:jc w:val="center"/>
        </w:trPr>
        <w:tc>
          <w:tcPr>
            <w:tcW w:w="38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widowControl/>
              <w:jc w:val="left"/>
              <w:rPr>
                <w:rFonts w:ascii="宋体" w:hAnsi="宋体" w:cs="宋体"/>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jc w:val="center"/>
              <w:rPr>
                <w:rFonts w:ascii="宋体" w:hAnsi="宋体" w:cs="宋体"/>
                <w:color w:val="000000"/>
                <w:sz w:val="24"/>
              </w:rPr>
            </w:pPr>
          </w:p>
        </w:tc>
        <w:tc>
          <w:tcPr>
            <w:tcW w:w="1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t>指标</w:t>
            </w:r>
          </w:p>
        </w:tc>
        <w:tc>
          <w:tcPr>
            <w:tcW w:w="22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c>
          <w:tcPr>
            <w:tcW w:w="2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45DD" w:rsidRDefault="001C45DD">
            <w:pPr>
              <w:rPr>
                <w:rFonts w:ascii="宋体" w:hAnsi="宋体" w:cs="宋体"/>
                <w:color w:val="000000"/>
                <w:sz w:val="24"/>
              </w:rPr>
            </w:pPr>
          </w:p>
        </w:tc>
      </w:tr>
      <w:tr w:rsidR="001C45DD">
        <w:trPr>
          <w:trHeight w:val="1034"/>
          <w:jc w:val="center"/>
        </w:trPr>
        <w:tc>
          <w:tcPr>
            <w:tcW w:w="10080" w:type="dxa"/>
            <w:gridSpan w:val="13"/>
            <w:tcMar>
              <w:top w:w="15" w:type="dxa"/>
              <w:left w:w="15" w:type="dxa"/>
              <w:bottom w:w="0" w:type="dxa"/>
              <w:right w:w="15" w:type="dxa"/>
            </w:tcMar>
            <w:vAlign w:val="center"/>
          </w:tcPr>
          <w:p w:rsidR="001C45DD" w:rsidRDefault="00CA7826">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(2019年度)</w:t>
            </w:r>
          </w:p>
        </w:tc>
      </w:tr>
      <w:tr w:rsidR="001C45DD">
        <w:trPr>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298"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地质灾害群测群防体系维护费</w:t>
            </w:r>
          </w:p>
        </w:tc>
      </w:tr>
      <w:tr w:rsidR="001C45DD">
        <w:trPr>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298"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ED16AE">
            <w:pPr>
              <w:widowControl/>
              <w:jc w:val="center"/>
              <w:textAlignment w:val="center"/>
              <w:rPr>
                <w:rFonts w:ascii="宋体" w:hAnsi="宋体" w:cs="宋体"/>
                <w:color w:val="000000"/>
                <w:sz w:val="24"/>
              </w:rPr>
            </w:pPr>
            <w:r w:rsidRPr="00ED16AE">
              <w:rPr>
                <w:rFonts w:ascii="宋体" w:hAnsi="宋体" w:cs="宋体" w:hint="eastAsia"/>
                <w:color w:val="000000"/>
                <w:sz w:val="24"/>
              </w:rPr>
              <w:t>乐山市自然资源局高新区分局</w:t>
            </w:r>
          </w:p>
        </w:tc>
      </w:tr>
      <w:tr w:rsidR="001C45DD">
        <w:trPr>
          <w:trHeight w:val="302"/>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1.08</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1.08</w:t>
            </w:r>
          </w:p>
        </w:tc>
      </w:tr>
      <w:tr w:rsidR="001C45DD">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rsidR="001C45DD" w:rsidRDefault="001C45DD">
            <w:pPr>
              <w:widowControl/>
              <w:jc w:val="left"/>
              <w:rPr>
                <w:rFonts w:ascii="宋体" w:hAns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1.08</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1.08</w:t>
            </w:r>
          </w:p>
        </w:tc>
      </w:tr>
      <w:tr w:rsidR="001C45DD">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rsidR="001C45DD" w:rsidRDefault="001C45DD">
            <w:pPr>
              <w:widowControl/>
              <w:jc w:val="left"/>
              <w:rPr>
                <w:rFonts w:ascii="宋体" w:hAns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jc w:val="center"/>
              <w:rPr>
                <w:rFonts w:ascii="宋体" w:hAnsi="宋体" w:cs="宋体"/>
                <w:color w:val="000000"/>
                <w:sz w:val="24"/>
              </w:rPr>
            </w:pPr>
            <w:r>
              <w:rPr>
                <w:rFonts w:ascii="宋体" w:hAnsi="宋体" w:cs="宋体" w:hint="eastAsia"/>
                <w:color w:val="000000"/>
                <w:sz w:val="24"/>
              </w:rPr>
              <w:t>0</w:t>
            </w:r>
          </w:p>
        </w:tc>
      </w:tr>
      <w:tr w:rsidR="001C45DD">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90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C45DD">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rsidR="001C45DD" w:rsidRDefault="001C45DD">
            <w:pPr>
              <w:widowControl/>
              <w:jc w:val="left"/>
              <w:rPr>
                <w:rFonts w:ascii="宋体" w:hAnsi="宋体" w:cs="宋体"/>
                <w:color w:val="000000"/>
                <w:sz w:val="24"/>
              </w:rPr>
            </w:pPr>
          </w:p>
        </w:tc>
        <w:tc>
          <w:tcPr>
            <w:tcW w:w="4784"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完成地质灾害群测群防防护体系维护</w:t>
            </w:r>
          </w:p>
        </w:tc>
        <w:tc>
          <w:tcPr>
            <w:tcW w:w="490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t>完成地质灾害群测群防防护体系维护</w:t>
            </w:r>
          </w:p>
        </w:tc>
      </w:tr>
      <w:tr w:rsidR="001C45DD">
        <w:trPr>
          <w:trHeight w:val="1042"/>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C45DD">
        <w:trPr>
          <w:trHeight w:val="953"/>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rsidR="001C45DD" w:rsidRDefault="001C45DD">
            <w:pPr>
              <w:widowControl/>
              <w:jc w:val="left"/>
              <w:rPr>
                <w:rFonts w:ascii="宋体" w:hAnsi="宋体" w:cs="宋体"/>
                <w:color w:val="000000"/>
                <w:sz w:val="24"/>
              </w:rPr>
            </w:pPr>
          </w:p>
        </w:tc>
        <w:tc>
          <w:tcPr>
            <w:tcW w:w="136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项目完成</w:t>
            </w:r>
          </w:p>
        </w:tc>
        <w:tc>
          <w:tcPr>
            <w:tcW w:w="10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无</w:t>
            </w:r>
          </w:p>
        </w:tc>
      </w:tr>
      <w:tr w:rsidR="001C45DD">
        <w:trPr>
          <w:trHeight w:val="1042"/>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rsidR="001C45DD" w:rsidRDefault="001C45DD">
            <w:pPr>
              <w:widowControl/>
              <w:jc w:val="left"/>
              <w:rPr>
                <w:rFonts w:ascii="宋体" w:hAnsi="宋体" w:cs="宋体"/>
                <w:color w:val="000000"/>
                <w:sz w:val="24"/>
              </w:rPr>
            </w:pPr>
          </w:p>
        </w:tc>
        <w:tc>
          <w:tcPr>
            <w:tcW w:w="1367"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1C45DD">
            <w:pPr>
              <w:jc w:val="center"/>
              <w:rPr>
                <w:rFonts w:ascii="宋体" w:hAnsi="宋体" w:cs="宋体"/>
                <w:color w:val="000000"/>
                <w:sz w:val="24"/>
              </w:rPr>
            </w:pPr>
          </w:p>
        </w:tc>
        <w:tc>
          <w:tcPr>
            <w:tcW w:w="10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1C45DD">
        <w:trPr>
          <w:trHeight w:val="1042"/>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rsidR="001C45DD" w:rsidRDefault="001C45DD">
            <w:pPr>
              <w:widowControl/>
              <w:jc w:val="left"/>
              <w:rPr>
                <w:rFonts w:ascii="宋体" w:hAnsi="宋体" w:cs="宋体"/>
                <w:color w:val="000000"/>
                <w:sz w:val="24"/>
              </w:rPr>
            </w:pPr>
          </w:p>
        </w:tc>
        <w:tc>
          <w:tcPr>
            <w:tcW w:w="1367"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1C45DD">
            <w:pPr>
              <w:jc w:val="center"/>
              <w:rPr>
                <w:rFonts w:ascii="宋体" w:hAnsi="宋体" w:cs="宋体"/>
                <w:color w:val="000000"/>
                <w:kern w:val="0"/>
                <w:sz w:val="24"/>
              </w:rPr>
            </w:pPr>
          </w:p>
        </w:tc>
        <w:tc>
          <w:tcPr>
            <w:tcW w:w="10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指标1：完成时间</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2019年底</w:t>
            </w: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2019年底</w:t>
            </w:r>
          </w:p>
        </w:tc>
      </w:tr>
      <w:tr w:rsidR="001C45DD">
        <w:trPr>
          <w:trHeight w:val="1042"/>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rsidR="001C45DD" w:rsidRDefault="001C45DD">
            <w:pPr>
              <w:widowControl/>
              <w:jc w:val="left"/>
              <w:rPr>
                <w:rFonts w:ascii="宋体" w:hAnsi="宋体" w:cs="宋体"/>
                <w:color w:val="000000"/>
                <w:sz w:val="24"/>
              </w:rPr>
            </w:pPr>
          </w:p>
        </w:tc>
        <w:tc>
          <w:tcPr>
            <w:tcW w:w="1367"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1C45DD">
            <w:pPr>
              <w:jc w:val="center"/>
              <w:rPr>
                <w:rFonts w:ascii="宋体" w:hAnsi="宋体" w:cs="宋体"/>
                <w:color w:val="000000"/>
                <w:sz w:val="24"/>
              </w:rPr>
            </w:pPr>
          </w:p>
        </w:tc>
        <w:tc>
          <w:tcPr>
            <w:tcW w:w="10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指标1：维护费</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地质灾害群测群防防护费用10800元</w:t>
            </w: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地质灾害群测群防防护费用10800元</w:t>
            </w:r>
          </w:p>
        </w:tc>
      </w:tr>
      <w:tr w:rsidR="001C45DD">
        <w:trPr>
          <w:trHeight w:val="1042"/>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rsidR="001C45DD" w:rsidRDefault="001C45DD">
            <w:pPr>
              <w:widowControl/>
              <w:jc w:val="left"/>
              <w:rPr>
                <w:rFonts w:ascii="宋体" w:hAnsi="宋体" w:cs="宋体"/>
                <w:color w:val="000000"/>
                <w:sz w:val="24"/>
              </w:rPr>
            </w:pPr>
          </w:p>
        </w:tc>
        <w:tc>
          <w:tcPr>
            <w:tcW w:w="136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jc w:val="center"/>
              <w:rPr>
                <w:rFonts w:ascii="宋体" w:hAnsi="宋体" w:cs="宋体"/>
                <w:color w:val="000000"/>
                <w:sz w:val="24"/>
              </w:rPr>
            </w:pPr>
            <w:r>
              <w:rPr>
                <w:rFonts w:ascii="宋体" w:hAnsi="宋体" w:cs="宋体" w:hint="eastAsia"/>
                <w:color w:val="000000"/>
                <w:sz w:val="24"/>
              </w:rPr>
              <w:t>效益指标</w:t>
            </w:r>
          </w:p>
        </w:tc>
        <w:tc>
          <w:tcPr>
            <w:tcW w:w="10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t>指标</w:t>
            </w:r>
          </w:p>
        </w:tc>
        <w:tc>
          <w:tcPr>
            <w:tcW w:w="23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指标1：体系维护</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完成地质灾害群测群防防护体系维护</w:t>
            </w: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sz w:val="24"/>
              </w:rPr>
              <w:t>完成地质灾害群测群防防护体系维护</w:t>
            </w:r>
          </w:p>
        </w:tc>
      </w:tr>
      <w:tr w:rsidR="001C45DD">
        <w:trPr>
          <w:trHeight w:val="1042"/>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rsidR="001C45DD" w:rsidRDefault="001C45DD">
            <w:pPr>
              <w:widowControl/>
              <w:jc w:val="left"/>
              <w:rPr>
                <w:rFonts w:ascii="宋体" w:hAnsi="宋体" w:cs="宋体"/>
                <w:color w:val="000000"/>
                <w:sz w:val="24"/>
              </w:rPr>
            </w:pPr>
          </w:p>
        </w:tc>
        <w:tc>
          <w:tcPr>
            <w:tcW w:w="1367"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1C45DD">
            <w:pPr>
              <w:jc w:val="center"/>
              <w:rPr>
                <w:rFonts w:ascii="宋体" w:hAnsi="宋体" w:cs="宋体"/>
                <w:color w:val="000000"/>
                <w:kern w:val="0"/>
                <w:sz w:val="24"/>
              </w:rPr>
            </w:pPr>
          </w:p>
        </w:tc>
        <w:tc>
          <w:tcPr>
            <w:tcW w:w="10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t>指标</w:t>
            </w:r>
          </w:p>
        </w:tc>
        <w:tc>
          <w:tcPr>
            <w:tcW w:w="23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1C45DD">
            <w:pPr>
              <w:rPr>
                <w:rFonts w:ascii="宋体" w:hAnsi="宋体" w:cs="宋体"/>
                <w:color w:val="000000"/>
                <w:sz w:val="24"/>
              </w:rPr>
            </w:pP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1C45DD">
            <w:pPr>
              <w:rPr>
                <w:rFonts w:ascii="宋体" w:hAnsi="宋体" w:cs="宋体"/>
                <w:color w:val="000000"/>
                <w:sz w:val="24"/>
              </w:rPr>
            </w:pPr>
          </w:p>
        </w:tc>
      </w:tr>
      <w:tr w:rsidR="001C45DD">
        <w:trPr>
          <w:trHeight w:val="1297"/>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rsidR="001C45DD" w:rsidRDefault="001C45DD">
            <w:pPr>
              <w:widowControl/>
              <w:jc w:val="left"/>
              <w:rPr>
                <w:rFonts w:ascii="宋体" w:hAnsi="宋体" w:cs="宋体"/>
                <w:color w:val="000000"/>
                <w:sz w:val="24"/>
              </w:rPr>
            </w:pPr>
          </w:p>
        </w:tc>
        <w:tc>
          <w:tcPr>
            <w:tcW w:w="1367" w:type="dxa"/>
            <w:gridSpan w:val="2"/>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1C45DD">
            <w:pPr>
              <w:jc w:val="center"/>
              <w:rPr>
                <w:rFonts w:ascii="宋体" w:hAnsi="宋体" w:cs="宋体"/>
                <w:color w:val="000000"/>
                <w:sz w:val="24"/>
              </w:rPr>
            </w:pPr>
          </w:p>
        </w:tc>
        <w:tc>
          <w:tcPr>
            <w:tcW w:w="10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t>指标</w:t>
            </w:r>
          </w:p>
        </w:tc>
        <w:tc>
          <w:tcPr>
            <w:tcW w:w="23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1C45DD">
            <w:pPr>
              <w:rPr>
                <w:rFonts w:ascii="宋体" w:hAnsi="宋体" w:cs="宋体"/>
                <w:color w:val="000000"/>
                <w:sz w:val="24"/>
              </w:rPr>
            </w:pP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1C45DD">
            <w:pPr>
              <w:rPr>
                <w:rFonts w:ascii="宋体" w:hAnsi="宋体" w:cs="宋体"/>
                <w:color w:val="000000"/>
                <w:sz w:val="24"/>
              </w:rPr>
            </w:pPr>
          </w:p>
        </w:tc>
      </w:tr>
      <w:tr w:rsidR="001C45DD">
        <w:trPr>
          <w:trHeight w:val="1297"/>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rsidR="001C45DD" w:rsidRDefault="001C45DD">
            <w:pPr>
              <w:widowControl/>
              <w:jc w:val="left"/>
              <w:rPr>
                <w:rFonts w:ascii="宋体" w:hAns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指标1：上级主管部门满意</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c>
          <w:tcPr>
            <w:tcW w:w="25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45DD" w:rsidRDefault="00CA7826">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r>
    </w:tbl>
    <w:p w:rsidR="001C45DD" w:rsidRDefault="001C45DD">
      <w:pPr>
        <w:spacing w:line="580" w:lineRule="exact"/>
        <w:ind w:firstLineChars="200" w:firstLine="640"/>
        <w:rPr>
          <w:rFonts w:ascii="仿宋_GB2312" w:eastAsia="仿宋_GB2312" w:hAnsi="仿宋_GB2312" w:cs="仿宋_GB2312"/>
          <w:sz w:val="32"/>
          <w:szCs w:val="32"/>
        </w:rPr>
      </w:pPr>
    </w:p>
    <w:p w:rsidR="001C45DD" w:rsidRDefault="001C45DD">
      <w:pPr>
        <w:spacing w:line="580" w:lineRule="exact"/>
        <w:rPr>
          <w:rFonts w:ascii="仿宋_GB2312" w:eastAsia="仿宋_GB2312" w:hAnsi="仿宋_GB2312" w:cs="仿宋_GB2312"/>
          <w:sz w:val="32"/>
          <w:szCs w:val="32"/>
        </w:rPr>
      </w:pPr>
    </w:p>
    <w:p w:rsidR="001C45DD" w:rsidRDefault="001C45DD">
      <w:pPr>
        <w:spacing w:line="580" w:lineRule="exact"/>
        <w:ind w:left="630"/>
        <w:rPr>
          <w:rFonts w:ascii="仿宋_GB2312" w:eastAsia="仿宋_GB2312" w:hAnsi="仿宋_GB2312" w:cs="仿宋_GB2312"/>
          <w:sz w:val="32"/>
          <w:szCs w:val="32"/>
        </w:rPr>
      </w:pPr>
    </w:p>
    <w:p w:rsidR="001C45DD" w:rsidRDefault="00CA7826">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1C45DD" w:rsidRDefault="00CA78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本部门按要求对2019年部门整体支出绩效评价情况开展自评，《乐山市自然资源局高新区分局整体支出绩效报告》见附件（附件1）。</w:t>
      </w:r>
    </w:p>
    <w:p w:rsidR="001C45DD" w:rsidRDefault="00CA7826">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C45DD" w:rsidRDefault="00CA7826">
      <w:pPr>
        <w:pStyle w:val="1"/>
        <w:numPr>
          <w:ilvl w:val="0"/>
          <w:numId w:val="4"/>
        </w:numPr>
        <w:jc w:val="center"/>
        <w:rPr>
          <w:rFonts w:ascii="黑体" w:eastAsia="黑体" w:hAnsi="黑体" w:cs="黑体"/>
          <w:b w:val="0"/>
          <w:bCs w:val="0"/>
        </w:rPr>
      </w:pPr>
      <w:bookmarkStart w:id="92" w:name="_Toc13519"/>
      <w:bookmarkStart w:id="93" w:name="_Toc156"/>
      <w:bookmarkStart w:id="94" w:name="_Toc15377225"/>
      <w:bookmarkStart w:id="95" w:name="_Toc15396613"/>
      <w:r>
        <w:rPr>
          <w:rFonts w:ascii="黑体" w:eastAsia="黑体" w:hAnsi="黑体" w:cs="黑体" w:hint="eastAsia"/>
          <w:b w:val="0"/>
          <w:bCs w:val="0"/>
        </w:rPr>
        <w:lastRenderedPageBreak/>
        <w:t>名词解释</w:t>
      </w:r>
      <w:bookmarkEnd w:id="92"/>
      <w:bookmarkEnd w:id="93"/>
      <w:bookmarkEnd w:id="94"/>
      <w:bookmarkEnd w:id="95"/>
    </w:p>
    <w:p w:rsidR="001C45DD" w:rsidRDefault="001C45DD">
      <w:pPr>
        <w:spacing w:line="600" w:lineRule="exact"/>
        <w:jc w:val="left"/>
        <w:rPr>
          <w:rFonts w:ascii="宋体"/>
          <w:b/>
          <w:color w:val="000000"/>
          <w:sz w:val="44"/>
          <w:szCs w:val="44"/>
        </w:rPr>
      </w:pPr>
    </w:p>
    <w:p w:rsidR="001C45DD" w:rsidRDefault="00CA7826">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C45DD" w:rsidRDefault="00CA7826">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1C45DD" w:rsidRDefault="00CA7826">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年初结转和结余：指以前年度尚未完成、结转到本年按有关规定继续使用的资金。</w:t>
      </w:r>
    </w:p>
    <w:p w:rsidR="001C45DD" w:rsidRDefault="00CA782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结余分配：指事业单位按照事业单位会计制度的规定从非财政补助结余中分配的事业基金和职工福利基金等。</w:t>
      </w:r>
    </w:p>
    <w:p w:rsidR="001C45DD" w:rsidRDefault="00CA782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5、年末结转和结余：指单位按有关规定结转到下年或以后年度继续使用的资金。</w:t>
      </w:r>
    </w:p>
    <w:p w:rsidR="001C45DD" w:rsidRDefault="00CA7826">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Ansi="Calibri" w:cs="仿宋" w:hint="eastAsia"/>
          <w:color w:val="000000"/>
          <w:kern w:val="0"/>
          <w:sz w:val="32"/>
          <w:szCs w:val="32"/>
        </w:rPr>
        <w:t>一般公共服务（类）政府办公厅（室）及相关机构事务（款）行政运行（项）:指市政府法制办用于保障机构正常运行、开展日常工作的基本支出。</w:t>
      </w:r>
    </w:p>
    <w:p w:rsidR="001C45DD" w:rsidRDefault="00CA7826">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7.一般公共服务（类）政府办公厅（室）及相关机构事务（款）一般行政管理事务（项）:反映事业单位的基本支出，不包括行政单位的（包括施行公务员管理的事业单位）、后勤服务中心、医务室等附属事业单位。</w:t>
      </w:r>
    </w:p>
    <w:p w:rsidR="001C45DD" w:rsidRDefault="00CA7826">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color w:val="000000"/>
          <w:sz w:val="32"/>
          <w:szCs w:val="32"/>
        </w:rPr>
        <w:t>.</w:t>
      </w:r>
      <w:r>
        <w:rPr>
          <w:rFonts w:ascii="仿宋_GB2312" w:eastAsia="仿宋_GB2312" w:hint="eastAsia"/>
          <w:color w:val="000000"/>
          <w:sz w:val="32"/>
          <w:szCs w:val="32"/>
        </w:rPr>
        <w:t>国防支出（类）国防动员（款）人民防空（项）：指反映人民防空项目支出。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节能环保（类）污染防治（款）水体（项）：指反映水体污染防治项目支出。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lastRenderedPageBreak/>
        <w:t>10.城乡社区（类）城乡社区管理事务（款）行政运行（项）：指反映行政单位的（包括施行公务员管理的事业单位）的基本支出。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11.城乡社区（类）城乡社区管理事务（款）一般行政管理事务|（项）：指反映行政单位的（包括施行公务员管理的事业单位）未单独设置项级科目的其他项目支出。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12.城乡社区（类）城乡社区环境卫生（款）城乡社区环境卫生（项）：指反映城乡社区环境卫生项目支出。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13.农林水支出（类）农业（款）防灾救灾（项）：指反映农业防灾救灾项目支出。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14.农林水支出（类）水利（款）水利工程运行与维护(项):指反映水利工程运行和维护项目支出。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15.农林水支出（类）水利（款）防汛（项）：指反映水利防汛项目支出。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16.农林水支出（类）水利（款）江河湖库水系综合整治（项）：指反映江河湖库水系综合整治项目支出。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17.交通运输支出（类）公路水路运输（款）公路和运输安全（项）：指反映公路水路运输安全项目支出。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18.交通运输支出（类）其他交通运输支出（款）其他交通运输支出（项）：指反映行政单位的（包括施行公务员管理的事业单位）未单独设置项级科目的其他交通运输项目支出。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19.资源勘探信息等支出（类）支持中小企业发展和管</w:t>
      </w:r>
      <w:r>
        <w:rPr>
          <w:rFonts w:ascii="仿宋_GB2312" w:eastAsia="仿宋_GB2312" w:hint="eastAsia"/>
          <w:color w:val="000000"/>
          <w:sz w:val="32"/>
          <w:szCs w:val="32"/>
        </w:rPr>
        <w:lastRenderedPageBreak/>
        <w:t>理支出（款）其他支持中小企业发展和管理支出（项）：指反映行政单位的（包括施行公务员管理的事业单位）未单独设置项级科目的其他支持中小企业发展和管理的项目支出。</w:t>
      </w:r>
    </w:p>
    <w:p w:rsidR="001C45DD" w:rsidRDefault="00CA782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20.住房保障（类）保障性安居工程支出（款）保障性安居工程支出（项）：指反映保障性安居工程项目支出。</w:t>
      </w:r>
    </w:p>
    <w:p w:rsidR="001C45DD" w:rsidRDefault="00CA7826">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1C45DD" w:rsidRDefault="00CA7826">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1C45DD" w:rsidRDefault="00CA7826">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1C45DD" w:rsidRDefault="00CA782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24</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C45DD" w:rsidRDefault="00CA782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w:t>
      </w:r>
      <w:r>
        <w:rPr>
          <w:rFonts w:ascii="仿宋_GB2312" w:eastAsia="仿宋_GB2312" w:hint="eastAsia"/>
          <w:sz w:val="32"/>
          <w:szCs w:val="32"/>
        </w:rPr>
        <w:lastRenderedPageBreak/>
        <w:t>公用房取暖费、办公用房物业管理费、公务用车运行维护费以及其他费用。</w:t>
      </w:r>
    </w:p>
    <w:p w:rsidR="001C45DD" w:rsidRDefault="00CA7826">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1C45DD" w:rsidRDefault="00CA7826">
      <w:pPr>
        <w:spacing w:line="600" w:lineRule="exact"/>
        <w:jc w:val="center"/>
        <w:outlineLvl w:val="0"/>
        <w:rPr>
          <w:rStyle w:val="1Char"/>
          <w:rFonts w:ascii="黑体" w:eastAsia="黑体" w:hAnsi="黑体"/>
          <w:b w:val="0"/>
        </w:rPr>
      </w:pPr>
      <w:bookmarkStart w:id="96" w:name="_Toc15377226"/>
      <w:r>
        <w:rPr>
          <w:rFonts w:ascii="宋体"/>
          <w:b/>
          <w:color w:val="000000"/>
          <w:sz w:val="44"/>
          <w:szCs w:val="44"/>
        </w:rPr>
        <w:br w:type="page"/>
      </w:r>
      <w:bookmarkStart w:id="97" w:name="_Toc9924"/>
      <w:bookmarkStart w:id="98" w:name="_Toc15396614"/>
      <w:bookmarkStart w:id="99" w:name="_Toc27614"/>
      <w:r>
        <w:rPr>
          <w:rStyle w:val="1Char"/>
          <w:rFonts w:ascii="黑体" w:eastAsia="黑体" w:hAnsi="黑体" w:cs="黑体" w:hint="eastAsia"/>
          <w:b w:val="0"/>
          <w:bCs w:val="0"/>
        </w:rPr>
        <w:lastRenderedPageBreak/>
        <w:t>第四部分 附件</w:t>
      </w:r>
      <w:bookmarkEnd w:id="97"/>
      <w:bookmarkEnd w:id="98"/>
      <w:bookmarkEnd w:id="99"/>
    </w:p>
    <w:p w:rsidR="001C45DD" w:rsidRDefault="00CA7826">
      <w:pPr>
        <w:pStyle w:val="1"/>
        <w:rPr>
          <w:rFonts w:ascii="黑体" w:eastAsia="黑体" w:hAnsi="黑体" w:cs="黑体"/>
          <w:b w:val="0"/>
          <w:bCs w:val="0"/>
        </w:rPr>
      </w:pPr>
      <w:bookmarkStart w:id="100" w:name="_Toc24307"/>
      <w:bookmarkStart w:id="101" w:name="_Toc12984"/>
      <w:r>
        <w:rPr>
          <w:rFonts w:ascii="黑体" w:eastAsia="黑体" w:hAnsi="黑体" w:cs="黑体" w:hint="eastAsia"/>
          <w:b w:val="0"/>
          <w:bCs w:val="0"/>
        </w:rPr>
        <w:t>附件1</w:t>
      </w:r>
      <w:bookmarkEnd w:id="100"/>
      <w:bookmarkEnd w:id="101"/>
    </w:p>
    <w:p w:rsidR="001C45DD" w:rsidRDefault="001C45DD">
      <w:pPr>
        <w:spacing w:line="580" w:lineRule="exact"/>
        <w:jc w:val="center"/>
        <w:rPr>
          <w:rFonts w:ascii="方正小标宋简体" w:eastAsia="方正小标宋简体" w:hAnsi="方正小标宋简体" w:cs="方正小标宋简体"/>
          <w:sz w:val="44"/>
          <w:szCs w:val="44"/>
        </w:rPr>
      </w:pPr>
    </w:p>
    <w:p w:rsidR="001C45DD" w:rsidRDefault="00CA7826">
      <w:pPr>
        <w:topLinePunct/>
        <w:spacing w:line="70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color w:val="000000"/>
          <w:kern w:val="0"/>
          <w:sz w:val="44"/>
          <w:szCs w:val="44"/>
        </w:rPr>
        <w:t>乐山市自然资源局高新区分局</w:t>
      </w:r>
    </w:p>
    <w:p w:rsidR="001C45DD" w:rsidRDefault="00CA7826">
      <w:pPr>
        <w:topLinePunct/>
        <w:spacing w:line="700" w:lineRule="exact"/>
        <w:jc w:val="center"/>
        <w:rPr>
          <w:rFonts w:ascii="方正小标宋简体" w:eastAsia="方正小标宋简体" w:hAnsi="Calibri"/>
          <w:sz w:val="44"/>
          <w:szCs w:val="21"/>
          <w:shd w:val="clear" w:color="auto" w:fill="FFFFFF"/>
        </w:rPr>
      </w:pPr>
      <w:r>
        <w:rPr>
          <w:rFonts w:ascii="方正小标宋简体" w:eastAsia="方正小标宋简体" w:hAnsi="Calibri" w:hint="eastAsia"/>
          <w:sz w:val="44"/>
          <w:szCs w:val="21"/>
          <w:shd w:val="clear" w:color="auto" w:fill="FFFFFF"/>
        </w:rPr>
        <w:t>整体支出绩效报告</w:t>
      </w:r>
    </w:p>
    <w:p w:rsidR="001C45DD" w:rsidRDefault="00CA7826">
      <w:pPr>
        <w:widowControl/>
        <w:adjustRightInd w:val="0"/>
        <w:snapToGrid w:val="0"/>
        <w:spacing w:line="540" w:lineRule="exact"/>
        <w:ind w:firstLine="720"/>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（2019年）</w:t>
      </w:r>
    </w:p>
    <w:p w:rsidR="001C45DD" w:rsidRDefault="001C45DD">
      <w:pPr>
        <w:widowControl/>
        <w:adjustRightInd w:val="0"/>
        <w:snapToGrid w:val="0"/>
        <w:spacing w:line="540" w:lineRule="exact"/>
        <w:ind w:firstLine="720"/>
        <w:jc w:val="center"/>
        <w:rPr>
          <w:rFonts w:ascii="仿宋_GB2312" w:eastAsia="仿宋_GB2312" w:hAnsi="宋体"/>
          <w:sz w:val="32"/>
          <w:szCs w:val="32"/>
          <w:shd w:val="clear" w:color="auto" w:fill="FFFFFF"/>
        </w:rPr>
      </w:pPr>
    </w:p>
    <w:p w:rsidR="001C45DD" w:rsidRDefault="00CA7826">
      <w:pPr>
        <w:topLinePunct/>
        <w:spacing w:line="600" w:lineRule="exact"/>
        <w:outlineLvl w:val="0"/>
        <w:rPr>
          <w:rFonts w:ascii="黑体" w:eastAsia="黑体" w:hAnsi="Calibri"/>
          <w:sz w:val="32"/>
          <w:szCs w:val="32"/>
          <w:shd w:val="clear" w:color="auto" w:fill="FFFFFF"/>
          <w:lang w:val="zh-CN"/>
        </w:rPr>
      </w:pPr>
      <w:r>
        <w:rPr>
          <w:rFonts w:ascii="黑体" w:eastAsia="黑体" w:hAnsi="Calibri" w:hint="eastAsia"/>
          <w:sz w:val="32"/>
          <w:szCs w:val="32"/>
          <w:shd w:val="clear" w:color="auto" w:fill="FFFFFF"/>
          <w:lang w:val="zh-CN"/>
        </w:rPr>
        <w:t>一、单位概况</w:t>
      </w:r>
    </w:p>
    <w:p w:rsidR="001C45DD" w:rsidRDefault="00CA7826">
      <w:pPr>
        <w:numPr>
          <w:ilvl w:val="0"/>
          <w:numId w:val="1"/>
        </w:numPr>
        <w:spacing w:line="600" w:lineRule="exact"/>
        <w:outlineLvl w:val="1"/>
        <w:rPr>
          <w:rFonts w:ascii="仿宋_GB2312" w:eastAsia="仿宋_GB2312" w:hAnsi="Calibri"/>
          <w:sz w:val="30"/>
          <w:szCs w:val="30"/>
        </w:rPr>
      </w:pPr>
      <w:r>
        <w:rPr>
          <w:rFonts w:ascii="楷体_GB2312" w:eastAsia="楷体_GB2312" w:hAnsi="Calibri" w:hint="eastAsia"/>
          <w:sz w:val="32"/>
          <w:szCs w:val="21"/>
          <w:shd w:val="clear" w:color="auto" w:fill="FFFFFF"/>
          <w:lang w:val="zh-CN"/>
        </w:rPr>
        <w:t>机构组成。</w:t>
      </w:r>
      <w:r>
        <w:rPr>
          <w:rFonts w:ascii="仿宋_GB2312" w:eastAsia="仿宋_GB2312" w:hAnsi="Calibri" w:hint="eastAsia"/>
          <w:sz w:val="30"/>
          <w:szCs w:val="30"/>
        </w:rPr>
        <w:t>乐山市自然资源局高新区分局属于高新区一级预算单位，参照公务员法管理办法进行管理，无下属二级预算单位。</w:t>
      </w:r>
    </w:p>
    <w:p w:rsidR="001C45DD" w:rsidRDefault="00CA7826">
      <w:pPr>
        <w:numPr>
          <w:ilvl w:val="0"/>
          <w:numId w:val="1"/>
        </w:numPr>
        <w:spacing w:line="600" w:lineRule="exact"/>
        <w:outlineLvl w:val="1"/>
        <w:rPr>
          <w:rFonts w:ascii="仿宋_GB2312" w:eastAsia="仿宋_GB2312" w:hAnsi="Calibri"/>
          <w:sz w:val="30"/>
          <w:szCs w:val="30"/>
        </w:rPr>
      </w:pPr>
      <w:r>
        <w:rPr>
          <w:rFonts w:ascii="楷体_GB2312" w:eastAsia="楷体_GB2312" w:hAnsi="Calibri" w:hint="eastAsia"/>
          <w:sz w:val="32"/>
          <w:szCs w:val="21"/>
          <w:shd w:val="clear" w:color="auto" w:fill="FFFFFF"/>
          <w:lang w:val="zh-CN"/>
        </w:rPr>
        <w:t>机构职能。</w:t>
      </w:r>
      <w:r>
        <w:rPr>
          <w:rFonts w:ascii="仿宋_GB2312" w:eastAsia="仿宋_GB2312" w:hAnsi="Calibri" w:hint="eastAsia"/>
          <w:sz w:val="30"/>
          <w:szCs w:val="30"/>
        </w:rPr>
        <w:t>乐山市自然资源局高新区分局负责编制高新区的城乡规划；负责辖区自然资源调查监测评价,自然资源资产有偿使用工作,自然资源统一确权登记工作,自然资源的合理开发利用,安全生产和职业健康、生态环境 保护、审批服务便民化等工作；承担党工委、管委会交办的其他工作任务。</w:t>
      </w:r>
    </w:p>
    <w:p w:rsidR="001C45DD" w:rsidRDefault="00CA7826">
      <w:pPr>
        <w:numPr>
          <w:ilvl w:val="0"/>
          <w:numId w:val="1"/>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人员概况。</w:t>
      </w:r>
      <w:r>
        <w:rPr>
          <w:rFonts w:ascii="Calibri" w:eastAsia="仿宋_GB2312" w:hAnsi="Calibri" w:hint="eastAsia"/>
          <w:sz w:val="30"/>
          <w:szCs w:val="30"/>
          <w:lang w:val="zh-CN"/>
        </w:rPr>
        <w:t>2019</w:t>
      </w:r>
      <w:r>
        <w:rPr>
          <w:rFonts w:ascii="Calibri" w:eastAsia="仿宋_GB2312" w:hAnsi="Calibri" w:hint="eastAsia"/>
          <w:sz w:val="30"/>
          <w:szCs w:val="30"/>
          <w:lang w:val="zh-CN"/>
        </w:rPr>
        <w:t>年编制人数为</w:t>
      </w:r>
      <w:r>
        <w:rPr>
          <w:rFonts w:ascii="Calibri" w:eastAsia="仿宋_GB2312" w:hAnsi="Calibri" w:hint="eastAsia"/>
          <w:sz w:val="30"/>
          <w:szCs w:val="30"/>
        </w:rPr>
        <w:t>6</w:t>
      </w:r>
      <w:r>
        <w:rPr>
          <w:rFonts w:ascii="Calibri" w:eastAsia="仿宋_GB2312" w:hAnsi="Calibri" w:hint="eastAsia"/>
          <w:sz w:val="30"/>
          <w:szCs w:val="30"/>
          <w:lang w:val="zh-CN"/>
        </w:rPr>
        <w:t>人，其中行政编制为</w:t>
      </w:r>
      <w:r>
        <w:rPr>
          <w:rFonts w:ascii="Calibri" w:eastAsia="仿宋_GB2312" w:hAnsi="Calibri" w:hint="eastAsia"/>
          <w:sz w:val="30"/>
          <w:szCs w:val="30"/>
          <w:lang w:val="zh-CN"/>
        </w:rPr>
        <w:t>0</w:t>
      </w:r>
      <w:r>
        <w:rPr>
          <w:rFonts w:ascii="Calibri" w:eastAsia="仿宋_GB2312" w:hAnsi="Calibri" w:hint="eastAsia"/>
          <w:sz w:val="30"/>
          <w:szCs w:val="30"/>
          <w:lang w:val="zh-CN"/>
        </w:rPr>
        <w:t>人，</w:t>
      </w:r>
      <w:r>
        <w:rPr>
          <w:rFonts w:ascii="Calibri" w:eastAsia="仿宋_GB2312" w:hAnsi="Calibri" w:hint="eastAsia"/>
          <w:sz w:val="30"/>
          <w:szCs w:val="30"/>
        </w:rPr>
        <w:t>参公</w:t>
      </w:r>
      <w:r>
        <w:rPr>
          <w:rFonts w:ascii="Calibri" w:eastAsia="仿宋_GB2312" w:hAnsi="Calibri" w:hint="eastAsia"/>
          <w:sz w:val="30"/>
          <w:szCs w:val="30"/>
          <w:lang w:val="zh-CN"/>
        </w:rPr>
        <w:t>编制为</w:t>
      </w:r>
      <w:r>
        <w:rPr>
          <w:rFonts w:ascii="Calibri" w:eastAsia="仿宋_GB2312" w:hAnsi="Calibri" w:hint="eastAsia"/>
          <w:sz w:val="30"/>
          <w:szCs w:val="30"/>
        </w:rPr>
        <w:t>6</w:t>
      </w:r>
      <w:r>
        <w:rPr>
          <w:rFonts w:ascii="Calibri" w:eastAsia="仿宋_GB2312" w:hAnsi="Calibri" w:hint="eastAsia"/>
          <w:sz w:val="30"/>
          <w:szCs w:val="30"/>
          <w:lang w:val="zh-CN"/>
        </w:rPr>
        <w:t>人。年末实有人数共有</w:t>
      </w:r>
      <w:r>
        <w:rPr>
          <w:rFonts w:ascii="Calibri" w:eastAsia="仿宋_GB2312" w:hAnsi="Calibri" w:hint="eastAsia"/>
          <w:sz w:val="30"/>
          <w:szCs w:val="30"/>
        </w:rPr>
        <w:t>7</w:t>
      </w:r>
      <w:r>
        <w:rPr>
          <w:rFonts w:ascii="Calibri" w:eastAsia="仿宋_GB2312" w:hAnsi="Calibri" w:hint="eastAsia"/>
          <w:sz w:val="30"/>
          <w:szCs w:val="30"/>
          <w:lang w:val="zh-CN"/>
        </w:rPr>
        <w:t>人，实有行政人员为</w:t>
      </w:r>
      <w:r>
        <w:rPr>
          <w:rFonts w:ascii="Calibri" w:eastAsia="仿宋_GB2312" w:hAnsi="Calibri" w:hint="eastAsia"/>
          <w:sz w:val="30"/>
          <w:szCs w:val="30"/>
          <w:lang w:val="zh-CN"/>
        </w:rPr>
        <w:t>0</w:t>
      </w:r>
      <w:r>
        <w:rPr>
          <w:rFonts w:ascii="Calibri" w:eastAsia="仿宋_GB2312" w:hAnsi="Calibri" w:hint="eastAsia"/>
          <w:sz w:val="30"/>
          <w:szCs w:val="30"/>
          <w:lang w:val="zh-CN"/>
        </w:rPr>
        <w:t>人，实有</w:t>
      </w:r>
      <w:r>
        <w:rPr>
          <w:rFonts w:ascii="Calibri" w:eastAsia="仿宋_GB2312" w:hAnsi="Calibri" w:hint="eastAsia"/>
          <w:sz w:val="30"/>
          <w:szCs w:val="30"/>
        </w:rPr>
        <w:t>参公</w:t>
      </w:r>
      <w:r>
        <w:rPr>
          <w:rFonts w:ascii="Calibri" w:eastAsia="仿宋_GB2312" w:hAnsi="Calibri" w:hint="eastAsia"/>
          <w:sz w:val="30"/>
          <w:szCs w:val="30"/>
          <w:lang w:val="zh-CN"/>
        </w:rPr>
        <w:t>人员为</w:t>
      </w:r>
      <w:r>
        <w:rPr>
          <w:rFonts w:ascii="Calibri" w:eastAsia="仿宋_GB2312" w:hAnsi="Calibri" w:hint="eastAsia"/>
          <w:sz w:val="30"/>
          <w:szCs w:val="30"/>
        </w:rPr>
        <w:t>6</w:t>
      </w:r>
      <w:r>
        <w:rPr>
          <w:rFonts w:ascii="Calibri" w:eastAsia="仿宋_GB2312" w:hAnsi="Calibri" w:hint="eastAsia"/>
          <w:sz w:val="30"/>
          <w:szCs w:val="30"/>
          <w:lang w:val="zh-CN"/>
        </w:rPr>
        <w:t>人，实有聘用人员</w:t>
      </w:r>
      <w:r>
        <w:rPr>
          <w:rFonts w:ascii="Calibri" w:eastAsia="仿宋_GB2312" w:hAnsi="Calibri" w:hint="eastAsia"/>
          <w:sz w:val="30"/>
          <w:szCs w:val="30"/>
        </w:rPr>
        <w:t>1</w:t>
      </w:r>
      <w:r>
        <w:rPr>
          <w:rFonts w:ascii="Calibri" w:eastAsia="仿宋_GB2312" w:hAnsi="Calibri" w:hint="eastAsia"/>
          <w:sz w:val="30"/>
          <w:szCs w:val="30"/>
          <w:lang w:val="zh-CN"/>
        </w:rPr>
        <w:t>人，</w:t>
      </w:r>
      <w:r>
        <w:rPr>
          <w:rFonts w:ascii="Calibri" w:eastAsia="仿宋_GB2312" w:hAnsi="Calibri" w:hint="eastAsia"/>
          <w:sz w:val="30"/>
          <w:szCs w:val="30"/>
        </w:rPr>
        <w:t>其他</w:t>
      </w:r>
      <w:r>
        <w:rPr>
          <w:rFonts w:ascii="Calibri" w:eastAsia="仿宋_GB2312" w:hAnsi="Calibri" w:hint="eastAsia"/>
          <w:sz w:val="30"/>
          <w:szCs w:val="30"/>
          <w:lang w:val="zh-CN"/>
        </w:rPr>
        <w:t>人员</w:t>
      </w:r>
      <w:r>
        <w:rPr>
          <w:rFonts w:ascii="Calibri" w:eastAsia="仿宋_GB2312" w:hAnsi="Calibri" w:hint="eastAsia"/>
          <w:sz w:val="30"/>
          <w:szCs w:val="30"/>
        </w:rPr>
        <w:t>0</w:t>
      </w:r>
      <w:r>
        <w:rPr>
          <w:rFonts w:ascii="Calibri" w:eastAsia="仿宋_GB2312" w:hAnsi="Calibri" w:hint="eastAsia"/>
          <w:sz w:val="30"/>
          <w:szCs w:val="30"/>
          <w:lang w:val="zh-CN"/>
        </w:rPr>
        <w:t>人。</w:t>
      </w:r>
    </w:p>
    <w:p w:rsidR="001C45DD" w:rsidRDefault="00CA7826">
      <w:pPr>
        <w:topLinePunct/>
        <w:spacing w:line="600" w:lineRule="exact"/>
        <w:outlineLvl w:val="0"/>
        <w:rPr>
          <w:rFonts w:ascii="黑体" w:eastAsia="黑体" w:hAnsi="Calibri"/>
          <w:sz w:val="32"/>
          <w:szCs w:val="32"/>
          <w:shd w:val="clear" w:color="auto" w:fill="FFFFFF"/>
          <w:lang w:val="zh-CN"/>
        </w:rPr>
      </w:pPr>
      <w:r>
        <w:rPr>
          <w:rFonts w:ascii="黑体" w:eastAsia="黑体" w:hAnsi="Calibri" w:hint="eastAsia"/>
          <w:sz w:val="32"/>
          <w:szCs w:val="32"/>
          <w:shd w:val="clear" w:color="auto" w:fill="FFFFFF"/>
          <w:lang w:val="zh-CN"/>
        </w:rPr>
        <w:t>二、部门财政资金收支情况</w:t>
      </w:r>
    </w:p>
    <w:p w:rsidR="001C45DD" w:rsidRDefault="00CA7826">
      <w:pPr>
        <w:numPr>
          <w:ilvl w:val="0"/>
          <w:numId w:val="5"/>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部门财政资金收入情况。</w:t>
      </w:r>
      <w:r>
        <w:rPr>
          <w:rFonts w:ascii="仿宋_GB2312" w:eastAsia="仿宋_GB2312" w:hAnsi="Calibri" w:hint="eastAsia"/>
          <w:sz w:val="30"/>
          <w:szCs w:val="30"/>
          <w:lang w:val="zh-CN"/>
        </w:rPr>
        <w:t>本单位2019年财政总收入</w:t>
      </w:r>
      <w:r>
        <w:rPr>
          <w:rFonts w:ascii="仿宋_GB2312" w:eastAsia="仿宋_GB2312" w:hAnsi="Calibri" w:hint="eastAsia"/>
          <w:sz w:val="30"/>
          <w:szCs w:val="30"/>
        </w:rPr>
        <w:t>833.14万</w:t>
      </w:r>
      <w:r>
        <w:rPr>
          <w:rFonts w:ascii="仿宋_GB2312" w:eastAsia="仿宋_GB2312" w:hAnsi="Calibri" w:hint="eastAsia"/>
          <w:sz w:val="30"/>
          <w:szCs w:val="30"/>
          <w:lang w:val="zh-CN"/>
        </w:rPr>
        <w:t>元，其中财政拨款收入</w:t>
      </w:r>
      <w:r>
        <w:rPr>
          <w:rFonts w:ascii="仿宋_GB2312" w:eastAsia="仿宋_GB2312" w:hAnsi="Calibri" w:hint="eastAsia"/>
          <w:sz w:val="30"/>
          <w:szCs w:val="30"/>
        </w:rPr>
        <w:t>833.14万</w:t>
      </w:r>
      <w:r>
        <w:rPr>
          <w:rFonts w:ascii="仿宋_GB2312" w:eastAsia="仿宋_GB2312" w:hAnsi="Calibri" w:hint="eastAsia"/>
          <w:sz w:val="30"/>
          <w:szCs w:val="30"/>
          <w:lang w:val="zh-CN"/>
        </w:rPr>
        <w:t>元，</w:t>
      </w:r>
      <w:r>
        <w:rPr>
          <w:rFonts w:ascii="仿宋_GB2312" w:eastAsia="仿宋_GB2312" w:hAnsi="Calibri" w:hint="eastAsia"/>
          <w:sz w:val="30"/>
          <w:szCs w:val="30"/>
        </w:rPr>
        <w:t>占比100.00%。</w:t>
      </w:r>
    </w:p>
    <w:p w:rsidR="001C45DD" w:rsidRDefault="00CA7826">
      <w:pPr>
        <w:numPr>
          <w:ilvl w:val="0"/>
          <w:numId w:val="1"/>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lastRenderedPageBreak/>
        <w:t>部门财政资金支出情况。</w:t>
      </w:r>
      <w:r>
        <w:rPr>
          <w:rFonts w:ascii="仿宋_GB2312" w:eastAsia="仿宋_GB2312" w:hAnsi="Calibri" w:hint="eastAsia"/>
          <w:sz w:val="30"/>
          <w:szCs w:val="30"/>
          <w:lang w:val="zh-CN"/>
        </w:rPr>
        <w:t>本单位2019年总支出</w:t>
      </w:r>
      <w:r>
        <w:rPr>
          <w:rFonts w:ascii="仿宋_GB2312" w:eastAsia="仿宋_GB2312" w:hAnsi="Calibri" w:hint="eastAsia"/>
          <w:sz w:val="30"/>
          <w:szCs w:val="30"/>
        </w:rPr>
        <w:t>338.79万</w:t>
      </w:r>
      <w:r>
        <w:rPr>
          <w:rFonts w:ascii="仿宋_GB2312" w:eastAsia="仿宋_GB2312" w:hAnsi="Calibri" w:hint="eastAsia"/>
          <w:sz w:val="30"/>
          <w:szCs w:val="30"/>
          <w:lang w:val="zh-CN"/>
        </w:rPr>
        <w:t>元，其中商品和服务支出</w:t>
      </w:r>
      <w:r>
        <w:rPr>
          <w:rFonts w:ascii="仿宋_GB2312" w:eastAsia="仿宋_GB2312" w:hAnsi="Calibri" w:hint="eastAsia"/>
          <w:sz w:val="30"/>
          <w:szCs w:val="30"/>
        </w:rPr>
        <w:t>167.73万</w:t>
      </w:r>
      <w:r>
        <w:rPr>
          <w:rFonts w:ascii="仿宋_GB2312" w:eastAsia="仿宋_GB2312" w:hAnsi="Calibri" w:hint="eastAsia"/>
          <w:sz w:val="30"/>
          <w:szCs w:val="30"/>
          <w:lang w:val="zh-CN"/>
        </w:rPr>
        <w:t>元，</w:t>
      </w:r>
      <w:r>
        <w:rPr>
          <w:rFonts w:ascii="仿宋_GB2312" w:eastAsia="仿宋_GB2312" w:hAnsi="Calibri" w:hint="eastAsia"/>
          <w:sz w:val="30"/>
          <w:szCs w:val="30"/>
        </w:rPr>
        <w:t>占比49.51%。</w:t>
      </w:r>
    </w:p>
    <w:p w:rsidR="001C45DD" w:rsidRDefault="00CA7826">
      <w:pPr>
        <w:spacing w:line="600" w:lineRule="exact"/>
        <w:outlineLvl w:val="1"/>
        <w:rPr>
          <w:rFonts w:ascii="黑体" w:eastAsia="黑体" w:hAnsi="Calibri"/>
          <w:sz w:val="32"/>
          <w:szCs w:val="32"/>
          <w:shd w:val="clear" w:color="auto" w:fill="FFFFFF"/>
          <w:lang w:val="zh-CN"/>
        </w:rPr>
      </w:pPr>
      <w:r>
        <w:rPr>
          <w:rFonts w:ascii="黑体" w:eastAsia="黑体" w:hAnsi="Calibri" w:hint="eastAsia"/>
          <w:sz w:val="32"/>
          <w:szCs w:val="32"/>
          <w:shd w:val="clear" w:color="auto" w:fill="FFFFFF"/>
          <w:lang w:val="zh-CN"/>
        </w:rPr>
        <w:t>三、部门财政支出管理情况</w:t>
      </w:r>
    </w:p>
    <w:p w:rsidR="001C45DD" w:rsidRDefault="00CA7826">
      <w:pPr>
        <w:numPr>
          <w:ilvl w:val="0"/>
          <w:numId w:val="6"/>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预决算编制情况。</w:t>
      </w:r>
    </w:p>
    <w:p w:rsidR="001C45DD" w:rsidRDefault="00CA7826">
      <w:pPr>
        <w:numPr>
          <w:ilvl w:val="1"/>
          <w:numId w:val="6"/>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本单位严格根据国家有关方针、政策，按照上级下达的事业计划、任务，本着收支平衡的原则，编制预算。</w:t>
      </w:r>
    </w:p>
    <w:p w:rsidR="001C45DD" w:rsidRDefault="00CA7826">
      <w:pPr>
        <w:numPr>
          <w:ilvl w:val="1"/>
          <w:numId w:val="6"/>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rsidR="001C45DD" w:rsidRDefault="00CA7826">
      <w:pPr>
        <w:numPr>
          <w:ilvl w:val="1"/>
          <w:numId w:val="6"/>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本单位在预决算编制过程中全面实行项目及总体绩效评价目标</w:t>
      </w:r>
    </w:p>
    <w:p w:rsidR="001C45DD" w:rsidRDefault="00CA7826">
      <w:p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填报。</w:t>
      </w:r>
    </w:p>
    <w:p w:rsidR="001C45DD" w:rsidRDefault="00CA7826">
      <w:pPr>
        <w:numPr>
          <w:ilvl w:val="0"/>
          <w:numId w:val="6"/>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执行管理情况</w:t>
      </w:r>
    </w:p>
    <w:p w:rsidR="001C45DD" w:rsidRDefault="00CA7826">
      <w:pPr>
        <w:numPr>
          <w:ilvl w:val="1"/>
          <w:numId w:val="6"/>
        </w:numPr>
        <w:spacing w:line="600" w:lineRule="exact"/>
        <w:outlineLvl w:val="1"/>
        <w:rPr>
          <w:rFonts w:ascii="仿宋_GB2312" w:eastAsia="仿宋_GB2312" w:hAnsi="仿宋"/>
          <w:sz w:val="30"/>
          <w:szCs w:val="30"/>
        </w:rPr>
      </w:pPr>
      <w:r>
        <w:rPr>
          <w:rFonts w:ascii="仿宋_GB2312" w:eastAsia="仿宋_GB2312" w:hAnsi="仿宋" w:hint="eastAsia"/>
          <w:sz w:val="30"/>
          <w:szCs w:val="30"/>
        </w:rPr>
        <w:t>本单位严格按照预决算管理制度执行，依法依规及时分配上级专项资金，专项资金使用完成情况100%。</w:t>
      </w:r>
    </w:p>
    <w:p w:rsidR="001C45DD" w:rsidRDefault="00CA7826">
      <w:pPr>
        <w:numPr>
          <w:ilvl w:val="1"/>
          <w:numId w:val="6"/>
        </w:numPr>
        <w:spacing w:line="600" w:lineRule="exact"/>
        <w:outlineLvl w:val="1"/>
        <w:rPr>
          <w:rFonts w:ascii="仿宋_GB2312" w:eastAsia="仿宋_GB2312" w:hAnsi="仿宋"/>
          <w:sz w:val="30"/>
          <w:szCs w:val="30"/>
        </w:rPr>
      </w:pPr>
      <w:r>
        <w:rPr>
          <w:rFonts w:ascii="仿宋_GB2312" w:eastAsia="仿宋_GB2312" w:hAnsi="仿宋" w:hint="eastAsia"/>
          <w:sz w:val="30"/>
          <w:szCs w:val="30"/>
        </w:rPr>
        <w:t>严格按照“中央八项规定”等政策文件的规定开展日常工作。“三公”经费呈逐年下降趋势。</w:t>
      </w:r>
    </w:p>
    <w:p w:rsidR="001C45DD" w:rsidRDefault="00CA7826">
      <w:pPr>
        <w:numPr>
          <w:ilvl w:val="0"/>
          <w:numId w:val="6"/>
        </w:numPr>
        <w:spacing w:line="600" w:lineRule="exact"/>
        <w:outlineLvl w:val="1"/>
        <w:rPr>
          <w:rFonts w:ascii="仿宋_GB2312" w:eastAsia="楷体_GB2312" w:hAnsi="Calibri"/>
          <w:sz w:val="30"/>
          <w:szCs w:val="30"/>
          <w:lang w:val="zh-CN"/>
        </w:rPr>
      </w:pPr>
      <w:r>
        <w:rPr>
          <w:rFonts w:ascii="仿宋_GB2312" w:eastAsia="楷体_GB2312" w:hAnsi="Calibri" w:hint="eastAsia"/>
          <w:sz w:val="30"/>
          <w:szCs w:val="30"/>
          <w:lang w:val="zh-CN"/>
        </w:rPr>
        <w:t>综合管理情况</w:t>
      </w:r>
    </w:p>
    <w:p w:rsidR="001C45DD" w:rsidRDefault="00CA7826">
      <w:pPr>
        <w:numPr>
          <w:ilvl w:val="1"/>
          <w:numId w:val="6"/>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严格按照政府采购相关制度要求，事前编制采购预算，事中编制采购计划，严控采购流程和招投标工作。</w:t>
      </w:r>
    </w:p>
    <w:p w:rsidR="001C45DD" w:rsidRDefault="00CA7826">
      <w:pPr>
        <w:numPr>
          <w:ilvl w:val="1"/>
          <w:numId w:val="6"/>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建立完善的资产管理制度，资产全面实行卡片管理，做</w:t>
      </w:r>
      <w:r>
        <w:rPr>
          <w:rFonts w:ascii="仿宋_GB2312" w:eastAsia="仿宋_GB2312" w:hAnsi="Calibri" w:hint="eastAsia"/>
          <w:sz w:val="30"/>
          <w:szCs w:val="30"/>
          <w:lang w:val="zh-CN"/>
        </w:rPr>
        <w:lastRenderedPageBreak/>
        <w:t>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rsidR="001C45DD" w:rsidRDefault="00CA7826">
      <w:pPr>
        <w:numPr>
          <w:ilvl w:val="1"/>
          <w:numId w:val="6"/>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本单位内部建立专门的管理制度规范内部控制工作的开展，包括岗位人员责任岗位分离制度、收入支出管理制度、财务档案管理、票据管理、财务印章管理、专项资金管理制度办法等。</w:t>
      </w:r>
    </w:p>
    <w:p w:rsidR="001C45DD" w:rsidRDefault="00CA7826">
      <w:pPr>
        <w:numPr>
          <w:ilvl w:val="1"/>
          <w:numId w:val="6"/>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本单位严格执行预决算公开制度。</w:t>
      </w:r>
    </w:p>
    <w:p w:rsidR="001C45DD" w:rsidRDefault="00CA7826">
      <w:pPr>
        <w:numPr>
          <w:ilvl w:val="1"/>
          <w:numId w:val="6"/>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本单位在预决算编制过程中全面实行项目及总体绩效评价目标填报及按要求报送绩效自评报告。</w:t>
      </w:r>
    </w:p>
    <w:p w:rsidR="001C45DD" w:rsidRDefault="00CA7826">
      <w:pPr>
        <w:numPr>
          <w:ilvl w:val="1"/>
          <w:numId w:val="6"/>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本单位全面接受财政监督检查，在2019年的各项检查中无违规违纪现象。</w:t>
      </w:r>
    </w:p>
    <w:p w:rsidR="001C45DD" w:rsidRDefault="00CA7826">
      <w:pPr>
        <w:numPr>
          <w:ilvl w:val="0"/>
          <w:numId w:val="6"/>
        </w:numPr>
        <w:spacing w:line="600" w:lineRule="exact"/>
        <w:outlineLvl w:val="1"/>
        <w:rPr>
          <w:rFonts w:ascii="楷体_GB2312" w:eastAsia="楷体_GB2312" w:hAnsi="Calibri"/>
          <w:sz w:val="32"/>
          <w:szCs w:val="21"/>
          <w:lang w:val="zh-CN"/>
        </w:rPr>
      </w:pPr>
      <w:r>
        <w:rPr>
          <w:rFonts w:ascii="仿宋_GB2312" w:eastAsia="楷体_GB2312" w:hAnsi="Calibri" w:hint="eastAsia"/>
          <w:sz w:val="30"/>
          <w:szCs w:val="30"/>
          <w:lang w:val="zh-CN"/>
        </w:rPr>
        <w:t>整体绩效。</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2019年，我分局在高新区党工委、管委会的正确指导下，坚持</w:t>
      </w:r>
      <w:r>
        <w:rPr>
          <w:rFonts w:ascii="仿宋_GB2312" w:eastAsia="仿宋_GB2312" w:hAnsi="仿宋"/>
          <w:sz w:val="30"/>
          <w:szCs w:val="30"/>
        </w:rPr>
        <w:t>“</w:t>
      </w:r>
      <w:r>
        <w:rPr>
          <w:rFonts w:ascii="仿宋_GB2312" w:eastAsia="仿宋_GB2312" w:hAnsi="仿宋"/>
          <w:sz w:val="30"/>
          <w:szCs w:val="30"/>
        </w:rPr>
        <w:t>严起来、紧起来、快起来</w:t>
      </w:r>
      <w:r>
        <w:rPr>
          <w:rFonts w:ascii="仿宋_GB2312" w:eastAsia="仿宋_GB2312" w:hAnsi="仿宋"/>
          <w:sz w:val="30"/>
          <w:szCs w:val="30"/>
        </w:rPr>
        <w:t>”</w:t>
      </w:r>
      <w:r>
        <w:rPr>
          <w:rFonts w:ascii="仿宋_GB2312" w:eastAsia="仿宋_GB2312" w:hAnsi="仿宋"/>
          <w:sz w:val="30"/>
          <w:szCs w:val="30"/>
        </w:rPr>
        <w:t>的工作导向，积极适应新形势新要求，奋力推进各项工作。</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lastRenderedPageBreak/>
        <w:t xml:space="preserve"> 1、服务经济增长有力有效。</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①</w:t>
      </w:r>
      <w:r>
        <w:rPr>
          <w:rFonts w:ascii="仿宋_GB2312" w:eastAsia="仿宋_GB2312" w:hAnsi="仿宋"/>
          <w:sz w:val="30"/>
          <w:szCs w:val="30"/>
        </w:rPr>
        <w:t>加强土地规划管理。</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②</w:t>
      </w:r>
      <w:r>
        <w:rPr>
          <w:rFonts w:ascii="仿宋_GB2312" w:eastAsia="仿宋_GB2312" w:hAnsi="仿宋"/>
          <w:sz w:val="30"/>
          <w:szCs w:val="30"/>
        </w:rPr>
        <w:t>是做好建设项目规划审批工作。</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③</w:t>
      </w:r>
      <w:r>
        <w:rPr>
          <w:rFonts w:ascii="仿宋_GB2312" w:eastAsia="仿宋_GB2312" w:hAnsi="仿宋"/>
          <w:sz w:val="30"/>
          <w:szCs w:val="30"/>
        </w:rPr>
        <w:t>及时组织土地报征。</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④</w:t>
      </w:r>
      <w:r>
        <w:rPr>
          <w:rFonts w:ascii="仿宋_GB2312" w:eastAsia="仿宋_GB2312" w:hAnsi="仿宋"/>
          <w:sz w:val="30"/>
          <w:szCs w:val="30"/>
        </w:rPr>
        <w:t>加快推进土地供应，提高土地利用率。</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⑤</w:t>
      </w:r>
      <w:r>
        <w:rPr>
          <w:rFonts w:ascii="仿宋_GB2312" w:eastAsia="仿宋_GB2312" w:hAnsi="仿宋"/>
          <w:sz w:val="30"/>
          <w:szCs w:val="30"/>
        </w:rPr>
        <w:t>顺利完成批而未供和闲置土地处置工作任务。</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⑥</w:t>
      </w:r>
      <w:r>
        <w:rPr>
          <w:rFonts w:ascii="仿宋_GB2312" w:eastAsia="仿宋_GB2312" w:hAnsi="仿宋"/>
          <w:sz w:val="30"/>
          <w:szCs w:val="30"/>
        </w:rPr>
        <w:t>积极推进土地储备工作。</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2、保护自然资源尽职尽责。</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①</w:t>
      </w:r>
      <w:r>
        <w:rPr>
          <w:rFonts w:ascii="仿宋_GB2312" w:eastAsia="仿宋_GB2312" w:hAnsi="仿宋"/>
          <w:sz w:val="30"/>
          <w:szCs w:val="30"/>
        </w:rPr>
        <w:t>扎实开展高新区第三次全国国土调查工作。</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②</w:t>
      </w:r>
      <w:r>
        <w:rPr>
          <w:rFonts w:ascii="仿宋_GB2312" w:eastAsia="仿宋_GB2312" w:hAnsi="仿宋"/>
          <w:sz w:val="30"/>
          <w:szCs w:val="30"/>
        </w:rPr>
        <w:t>落实生态保护任务。</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③</w:t>
      </w:r>
      <w:r>
        <w:rPr>
          <w:rFonts w:ascii="仿宋_GB2312" w:eastAsia="仿宋_GB2312" w:hAnsi="仿宋"/>
          <w:sz w:val="30"/>
          <w:szCs w:val="30"/>
        </w:rPr>
        <w:t>加强执法监察和动态巡查监管。</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④</w:t>
      </w:r>
      <w:r>
        <w:rPr>
          <w:rFonts w:ascii="仿宋_GB2312" w:eastAsia="仿宋_GB2312" w:hAnsi="仿宋"/>
          <w:sz w:val="30"/>
          <w:szCs w:val="30"/>
        </w:rPr>
        <w:t>扎实开展</w:t>
      </w:r>
      <w:r>
        <w:rPr>
          <w:rFonts w:ascii="仿宋_GB2312" w:eastAsia="仿宋_GB2312" w:hAnsi="仿宋"/>
          <w:sz w:val="30"/>
          <w:szCs w:val="30"/>
        </w:rPr>
        <w:t>“</w:t>
      </w:r>
      <w:r>
        <w:rPr>
          <w:rFonts w:ascii="仿宋_GB2312" w:eastAsia="仿宋_GB2312" w:hAnsi="仿宋"/>
          <w:sz w:val="30"/>
          <w:szCs w:val="30"/>
        </w:rPr>
        <w:t>大棚房</w:t>
      </w:r>
      <w:r>
        <w:rPr>
          <w:rFonts w:ascii="仿宋_GB2312" w:eastAsia="仿宋_GB2312" w:hAnsi="仿宋"/>
          <w:sz w:val="30"/>
          <w:szCs w:val="30"/>
        </w:rPr>
        <w:t>”</w:t>
      </w:r>
      <w:r>
        <w:rPr>
          <w:rFonts w:ascii="仿宋_GB2312" w:eastAsia="仿宋_GB2312" w:hAnsi="仿宋"/>
          <w:sz w:val="30"/>
          <w:szCs w:val="30"/>
        </w:rPr>
        <w:t>问题专项清理整治行动。</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⑤</w:t>
      </w:r>
      <w:r>
        <w:rPr>
          <w:rFonts w:ascii="仿宋_GB2312" w:eastAsia="仿宋_GB2312" w:hAnsi="仿宋"/>
          <w:sz w:val="30"/>
          <w:szCs w:val="30"/>
        </w:rPr>
        <w:t>扎实开展违建别墅问题清查整治工作。</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⑥</w:t>
      </w:r>
      <w:r>
        <w:rPr>
          <w:rFonts w:ascii="仿宋_GB2312" w:eastAsia="仿宋_GB2312" w:hAnsi="仿宋"/>
          <w:sz w:val="30"/>
          <w:szCs w:val="30"/>
        </w:rPr>
        <w:t>认真做好林业管护工作。</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3、维护群众权益尽责到位。</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①</w:t>
      </w:r>
      <w:r>
        <w:rPr>
          <w:rFonts w:ascii="仿宋_GB2312" w:eastAsia="仿宋_GB2312" w:hAnsi="仿宋"/>
          <w:sz w:val="30"/>
          <w:szCs w:val="30"/>
        </w:rPr>
        <w:t>狠抓地灾防治。</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②</w:t>
      </w:r>
      <w:r>
        <w:rPr>
          <w:rFonts w:ascii="仿宋_GB2312" w:eastAsia="仿宋_GB2312" w:hAnsi="仿宋"/>
          <w:sz w:val="30"/>
          <w:szCs w:val="30"/>
        </w:rPr>
        <w:t>强力推进征地拆迁，确保重大项目落地。</w:t>
      </w:r>
    </w:p>
    <w:p w:rsidR="001C45DD" w:rsidRDefault="00CA7826">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③</w:t>
      </w:r>
      <w:r>
        <w:rPr>
          <w:rFonts w:ascii="仿宋_GB2312" w:eastAsia="仿宋_GB2312" w:hAnsi="仿宋"/>
          <w:sz w:val="30"/>
          <w:szCs w:val="30"/>
        </w:rPr>
        <w:t>严防死守，遏制森林火灾的发生。</w:t>
      </w:r>
    </w:p>
    <w:p w:rsidR="001C45DD" w:rsidRDefault="00CA7826">
      <w:pPr>
        <w:numPr>
          <w:ilvl w:val="0"/>
          <w:numId w:val="7"/>
        </w:numPr>
        <w:topLinePunct/>
        <w:spacing w:line="600" w:lineRule="exact"/>
        <w:outlineLvl w:val="0"/>
        <w:rPr>
          <w:rFonts w:ascii="黑体" w:eastAsia="黑体" w:hAnsi="Calibri"/>
          <w:sz w:val="32"/>
          <w:szCs w:val="32"/>
          <w:shd w:val="clear" w:color="auto" w:fill="FFFFFF"/>
        </w:rPr>
      </w:pPr>
      <w:r>
        <w:rPr>
          <w:rFonts w:ascii="黑体" w:eastAsia="黑体" w:hAnsi="Calibri" w:hint="eastAsia"/>
          <w:sz w:val="32"/>
          <w:szCs w:val="32"/>
          <w:shd w:val="clear" w:color="auto" w:fill="FFFFFF"/>
        </w:rPr>
        <w:t>评价结论及建议</w:t>
      </w:r>
    </w:p>
    <w:p w:rsidR="001C45DD" w:rsidRDefault="00CA7826">
      <w:pPr>
        <w:numPr>
          <w:ilvl w:val="0"/>
          <w:numId w:val="8"/>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评价结论。</w:t>
      </w:r>
    </w:p>
    <w:p w:rsidR="001C45DD" w:rsidRDefault="00CA7826">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本单位履行职责职能,严格按预算法及高新区管委会的要求编制预决算、按财经法规及制度使用、管理资金,成效明显,主要体现在以下几个方面：</w:t>
      </w:r>
    </w:p>
    <w:p w:rsidR="001C45DD" w:rsidRDefault="00CA7826">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1.资金使用效益合理有效，保障了财政供养人员的日常开</w:t>
      </w:r>
      <w:r>
        <w:rPr>
          <w:rFonts w:ascii="仿宋_GB2312" w:eastAsia="仿宋_GB2312" w:hAnsi="仿宋" w:hint="eastAsia"/>
          <w:sz w:val="30"/>
          <w:szCs w:val="30"/>
        </w:rPr>
        <w:lastRenderedPageBreak/>
        <w:t>支，资金使用无虚列支出及随意使用现象,无大额现金支付现象。</w:t>
      </w:r>
    </w:p>
    <w:p w:rsidR="001C45DD" w:rsidRDefault="00CA7826">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2.资金使用社会效益好。</w:t>
      </w:r>
    </w:p>
    <w:p w:rsidR="001C45DD" w:rsidRDefault="00CA7826">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3.根据财政整体支出绩效评价的内容要求，本单位的自查结果为“良”。</w:t>
      </w:r>
    </w:p>
    <w:p w:rsidR="001C45DD" w:rsidRDefault="00CA7826">
      <w:pPr>
        <w:numPr>
          <w:ilvl w:val="0"/>
          <w:numId w:val="1"/>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存在问题。</w:t>
      </w:r>
    </w:p>
    <w:p w:rsidR="001C45DD" w:rsidRDefault="00CA7826">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本部门收入支出预决算差异过大，未能准确编制预算，预算编制精细化称度有待提高。</w:t>
      </w:r>
    </w:p>
    <w:p w:rsidR="001C45DD" w:rsidRDefault="00CA7826">
      <w:pPr>
        <w:numPr>
          <w:ilvl w:val="0"/>
          <w:numId w:val="1"/>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改进建议。</w:t>
      </w:r>
    </w:p>
    <w:p w:rsidR="001C45DD" w:rsidRDefault="00CA7826">
      <w:pPr>
        <w:spacing w:line="580" w:lineRule="exact"/>
        <w:ind w:firstLineChars="200" w:firstLine="600"/>
        <w:rPr>
          <w:rFonts w:ascii="仿宋_GB2312" w:eastAsia="仿宋_GB2312" w:hAnsi="仿宋_GB2312" w:cs="仿宋_GB2312"/>
          <w:sz w:val="32"/>
          <w:szCs w:val="32"/>
        </w:rPr>
      </w:pPr>
      <w:r>
        <w:rPr>
          <w:rFonts w:ascii="仿宋_GB2312" w:eastAsia="仿宋_GB2312" w:hAnsi="仿宋" w:hint="eastAsia"/>
          <w:sz w:val="30"/>
          <w:szCs w:val="30"/>
        </w:rPr>
        <w:t>在今后的工作一方面要严格预算编制，做到细化精确，另一方面按照“统筹兼顾、勤俭节约、量力而行、讲求绩效、收支平衡”的原则，根据项目实施进度和实际需求安排预算。</w:t>
      </w:r>
    </w:p>
    <w:p w:rsidR="001C45DD" w:rsidRDefault="00CA7826">
      <w:pPr>
        <w:widowControl/>
        <w:jc w:val="left"/>
        <w:rPr>
          <w:rStyle w:val="1Char"/>
          <w:rFonts w:ascii="黑体" w:eastAsia="黑体" w:hAnsi="黑体"/>
          <w:b w:val="0"/>
        </w:rPr>
      </w:pPr>
      <w:r>
        <w:rPr>
          <w:rStyle w:val="1Char"/>
          <w:rFonts w:ascii="黑体" w:eastAsia="黑体" w:hAnsi="黑体"/>
          <w:b w:val="0"/>
        </w:rPr>
        <w:br w:type="page"/>
      </w:r>
    </w:p>
    <w:p w:rsidR="001C45DD" w:rsidRDefault="00CA7826">
      <w:pPr>
        <w:pStyle w:val="1"/>
        <w:rPr>
          <w:rFonts w:ascii="仿宋" w:eastAsia="仿宋" w:hAnsi="仿宋"/>
          <w:color w:val="000000"/>
        </w:rPr>
      </w:pPr>
      <w:bookmarkStart w:id="102" w:name="_Toc26786"/>
      <w:bookmarkStart w:id="103" w:name="_Toc15396618"/>
      <w:bookmarkStart w:id="104" w:name="_Toc27532"/>
      <w:r>
        <w:rPr>
          <w:rFonts w:hint="eastAsia"/>
        </w:rPr>
        <w:lastRenderedPageBreak/>
        <w:t>第五部分</w:t>
      </w:r>
      <w:r>
        <w:rPr>
          <w:rFonts w:hint="eastAsia"/>
        </w:rPr>
        <w:t xml:space="preserve"> </w:t>
      </w:r>
      <w:r>
        <w:rPr>
          <w:rFonts w:hint="eastAsia"/>
        </w:rPr>
        <w:t>附表</w:t>
      </w:r>
      <w:bookmarkStart w:id="105" w:name="_GoBack"/>
      <w:bookmarkEnd w:id="96"/>
      <w:bookmarkEnd w:id="102"/>
      <w:bookmarkEnd w:id="103"/>
      <w:bookmarkEnd w:id="104"/>
      <w:bookmarkEnd w:id="105"/>
    </w:p>
    <w:p w:rsidR="001C45DD" w:rsidRDefault="00CA7826">
      <w:pPr>
        <w:pStyle w:val="2"/>
        <w:rPr>
          <w:rFonts w:ascii="仿宋" w:eastAsia="仿宋" w:hAnsi="仿宋"/>
          <w:color w:val="000000"/>
        </w:rPr>
      </w:pPr>
      <w:bookmarkStart w:id="106" w:name="_Toc15396619"/>
      <w:bookmarkStart w:id="107" w:name="_Toc10590"/>
      <w:bookmarkStart w:id="108" w:name="_Toc24145"/>
      <w:r>
        <w:rPr>
          <w:rFonts w:ascii="仿宋" w:eastAsia="仿宋" w:hAnsi="仿宋" w:hint="eastAsia"/>
          <w:b w:val="0"/>
          <w:color w:val="000000"/>
        </w:rPr>
        <w:t>一、收</w:t>
      </w:r>
      <w:r>
        <w:rPr>
          <w:rStyle w:val="2Char"/>
          <w:rFonts w:ascii="仿宋" w:eastAsia="仿宋" w:hAnsi="仿宋" w:hint="eastAsia"/>
        </w:rPr>
        <w:t>入支出决算总表</w:t>
      </w:r>
      <w:bookmarkEnd w:id="106"/>
      <w:bookmarkEnd w:id="107"/>
      <w:bookmarkEnd w:id="108"/>
    </w:p>
    <w:p w:rsidR="001C45DD" w:rsidRDefault="00CA7826">
      <w:pPr>
        <w:pStyle w:val="2"/>
        <w:rPr>
          <w:rFonts w:ascii="仿宋" w:eastAsia="仿宋" w:hAnsi="仿宋"/>
          <w:color w:val="000000"/>
        </w:rPr>
      </w:pPr>
      <w:bookmarkStart w:id="109" w:name="_Toc15396620"/>
      <w:bookmarkStart w:id="110" w:name="_Toc2236"/>
      <w:bookmarkStart w:id="111" w:name="_Toc15557"/>
      <w:r>
        <w:rPr>
          <w:rFonts w:ascii="仿宋" w:eastAsia="仿宋" w:hAnsi="仿宋" w:hint="eastAsia"/>
          <w:b w:val="0"/>
          <w:color w:val="000000"/>
        </w:rPr>
        <w:t>二、收</w:t>
      </w:r>
      <w:r>
        <w:rPr>
          <w:rStyle w:val="2Char"/>
          <w:rFonts w:ascii="仿宋" w:eastAsia="仿宋" w:hAnsi="仿宋" w:hint="eastAsia"/>
        </w:rPr>
        <w:t>入决算表</w:t>
      </w:r>
      <w:bookmarkEnd w:id="109"/>
      <w:bookmarkEnd w:id="110"/>
      <w:bookmarkEnd w:id="111"/>
    </w:p>
    <w:p w:rsidR="001C45DD" w:rsidRDefault="00CA7826">
      <w:pPr>
        <w:pStyle w:val="2"/>
        <w:rPr>
          <w:rFonts w:ascii="仿宋" w:eastAsia="仿宋" w:hAnsi="仿宋"/>
          <w:color w:val="000000"/>
        </w:rPr>
      </w:pPr>
      <w:bookmarkStart w:id="112" w:name="_Toc3753"/>
      <w:bookmarkStart w:id="113" w:name="_Toc23554"/>
      <w:bookmarkStart w:id="11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112"/>
      <w:bookmarkEnd w:id="113"/>
      <w:bookmarkEnd w:id="114"/>
    </w:p>
    <w:p w:rsidR="001C45DD" w:rsidRDefault="00CA7826">
      <w:pPr>
        <w:pStyle w:val="2"/>
        <w:rPr>
          <w:rFonts w:ascii="仿宋" w:eastAsia="仿宋" w:hAnsi="仿宋"/>
          <w:b w:val="0"/>
          <w:color w:val="000000"/>
        </w:rPr>
      </w:pPr>
      <w:bookmarkStart w:id="115" w:name="_Toc15396622"/>
      <w:bookmarkStart w:id="116" w:name="_Toc19405"/>
      <w:bookmarkStart w:id="117" w:name="_Toc23715"/>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115"/>
      <w:bookmarkEnd w:id="116"/>
      <w:bookmarkEnd w:id="117"/>
    </w:p>
    <w:p w:rsidR="001C45DD" w:rsidRDefault="00CA7826">
      <w:pPr>
        <w:pStyle w:val="2"/>
        <w:rPr>
          <w:rStyle w:val="2Char"/>
          <w:rFonts w:ascii="仿宋" w:eastAsia="仿宋" w:hAnsi="仿宋"/>
        </w:rPr>
      </w:pPr>
      <w:bookmarkStart w:id="118" w:name="_Toc15396623"/>
      <w:bookmarkStart w:id="119" w:name="_Toc12278"/>
      <w:bookmarkStart w:id="120" w:name="_Toc23558"/>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21" w:name="_Toc15396624"/>
      <w:bookmarkEnd w:id="118"/>
      <w:bookmarkEnd w:id="119"/>
      <w:bookmarkEnd w:id="120"/>
    </w:p>
    <w:p w:rsidR="001C45DD" w:rsidRDefault="00CA7826">
      <w:pPr>
        <w:pStyle w:val="2"/>
        <w:rPr>
          <w:rFonts w:ascii="仿宋" w:eastAsia="仿宋" w:hAnsi="仿宋"/>
          <w:color w:val="000000"/>
        </w:rPr>
      </w:pPr>
      <w:bookmarkStart w:id="122" w:name="_Toc30523"/>
      <w:bookmarkStart w:id="123" w:name="_Toc9637"/>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21"/>
      <w:bookmarkEnd w:id="122"/>
      <w:bookmarkEnd w:id="123"/>
    </w:p>
    <w:p w:rsidR="001C45DD" w:rsidRDefault="00CA7826">
      <w:pPr>
        <w:pStyle w:val="2"/>
        <w:rPr>
          <w:rFonts w:ascii="仿宋" w:eastAsia="仿宋" w:hAnsi="仿宋"/>
          <w:color w:val="000000"/>
        </w:rPr>
      </w:pPr>
      <w:bookmarkStart w:id="124" w:name="_Toc16212"/>
      <w:bookmarkStart w:id="125" w:name="_Toc16877"/>
      <w:bookmarkStart w:id="12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24"/>
      <w:bookmarkEnd w:id="125"/>
      <w:bookmarkEnd w:id="126"/>
    </w:p>
    <w:p w:rsidR="001C45DD" w:rsidRDefault="00CA7826">
      <w:pPr>
        <w:pStyle w:val="2"/>
        <w:rPr>
          <w:rFonts w:ascii="仿宋" w:eastAsia="仿宋" w:hAnsi="仿宋"/>
          <w:color w:val="000000"/>
        </w:rPr>
      </w:pPr>
      <w:bookmarkStart w:id="127" w:name="_Toc19729"/>
      <w:bookmarkStart w:id="128" w:name="_Toc25860"/>
      <w:bookmarkStart w:id="12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27"/>
      <w:bookmarkEnd w:id="128"/>
      <w:bookmarkEnd w:id="129"/>
    </w:p>
    <w:p w:rsidR="001C45DD" w:rsidRDefault="00CA7826">
      <w:pPr>
        <w:pStyle w:val="2"/>
        <w:rPr>
          <w:rFonts w:ascii="仿宋" w:eastAsia="仿宋" w:hAnsi="仿宋"/>
          <w:color w:val="000000"/>
        </w:rPr>
      </w:pPr>
      <w:bookmarkStart w:id="130" w:name="_Toc13039"/>
      <w:bookmarkStart w:id="131" w:name="_Toc26987"/>
      <w:bookmarkStart w:id="13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30"/>
      <w:bookmarkEnd w:id="131"/>
      <w:bookmarkEnd w:id="132"/>
    </w:p>
    <w:p w:rsidR="001C45DD" w:rsidRDefault="00CA7826">
      <w:pPr>
        <w:pStyle w:val="2"/>
        <w:rPr>
          <w:rFonts w:ascii="仿宋" w:eastAsia="仿宋" w:hAnsi="仿宋"/>
          <w:color w:val="000000"/>
        </w:rPr>
      </w:pPr>
      <w:bookmarkStart w:id="133" w:name="_Toc1708"/>
      <w:bookmarkStart w:id="134" w:name="_Toc7358"/>
      <w:bookmarkStart w:id="135"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33"/>
      <w:bookmarkEnd w:id="134"/>
      <w:bookmarkEnd w:id="135"/>
    </w:p>
    <w:p w:rsidR="001C45DD" w:rsidRDefault="00CA7826">
      <w:pPr>
        <w:pStyle w:val="2"/>
        <w:rPr>
          <w:rFonts w:ascii="仿宋" w:eastAsia="仿宋" w:hAnsi="仿宋"/>
          <w:color w:val="000000"/>
        </w:rPr>
      </w:pPr>
      <w:bookmarkStart w:id="136" w:name="_Toc15396629"/>
      <w:bookmarkStart w:id="137" w:name="_Toc25743"/>
      <w:bookmarkStart w:id="138" w:name="_Toc9135"/>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36"/>
      <w:bookmarkEnd w:id="137"/>
      <w:bookmarkEnd w:id="138"/>
    </w:p>
    <w:p w:rsidR="001C45DD" w:rsidRDefault="00CA7826">
      <w:pPr>
        <w:pStyle w:val="2"/>
        <w:rPr>
          <w:rFonts w:ascii="仿宋" w:eastAsia="仿宋" w:hAnsi="仿宋"/>
          <w:color w:val="000000"/>
        </w:rPr>
      </w:pPr>
      <w:bookmarkStart w:id="139" w:name="_Toc15396630"/>
      <w:bookmarkStart w:id="140" w:name="_Toc20964"/>
      <w:bookmarkStart w:id="141" w:name="_Toc14062"/>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39"/>
      <w:bookmarkEnd w:id="140"/>
      <w:bookmarkEnd w:id="141"/>
    </w:p>
    <w:p w:rsidR="001C45DD" w:rsidRDefault="00CA7826">
      <w:pPr>
        <w:pStyle w:val="2"/>
        <w:rPr>
          <w:rFonts w:ascii="仿宋" w:eastAsia="仿宋" w:hAnsi="仿宋"/>
          <w:color w:val="000000" w:themeColor="text1"/>
        </w:rPr>
      </w:pPr>
      <w:bookmarkStart w:id="142" w:name="_Toc15396631"/>
      <w:bookmarkStart w:id="143" w:name="_Toc3511"/>
      <w:bookmarkStart w:id="144" w:name="_Toc5325"/>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42"/>
      <w:bookmarkEnd w:id="143"/>
      <w:bookmarkEnd w:id="144"/>
    </w:p>
    <w:sectPr w:rsidR="001C45DD" w:rsidSect="001C45DD">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398" w:rsidRDefault="00CB2398" w:rsidP="001C45DD">
      <w:r>
        <w:separator/>
      </w:r>
    </w:p>
  </w:endnote>
  <w:endnote w:type="continuationSeparator" w:id="0">
    <w:p w:rsidR="00CB2398" w:rsidRDefault="00CB2398" w:rsidP="001C4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1C45DD" w:rsidRDefault="00CC4E77">
        <w:pPr>
          <w:pStyle w:val="a5"/>
          <w:jc w:val="center"/>
        </w:pPr>
        <w:r>
          <w:fldChar w:fldCharType="begin"/>
        </w:r>
        <w:r w:rsidR="00CA7826">
          <w:instrText>PAGE   \* MERGEFORMAT</w:instrText>
        </w:r>
        <w:r>
          <w:fldChar w:fldCharType="separate"/>
        </w:r>
        <w:r w:rsidR="004D5A09" w:rsidRPr="004D5A09">
          <w:rPr>
            <w:noProof/>
            <w:lang w:val="zh-CN"/>
          </w:rPr>
          <w:t>2</w:t>
        </w:r>
        <w:r>
          <w:fldChar w:fldCharType="end"/>
        </w:r>
      </w:p>
    </w:sdtContent>
  </w:sdt>
  <w:p w:rsidR="001C45DD" w:rsidRDefault="001C45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398" w:rsidRDefault="00CB2398" w:rsidP="001C45DD">
      <w:r>
        <w:separator/>
      </w:r>
    </w:p>
  </w:footnote>
  <w:footnote w:type="continuationSeparator" w:id="0">
    <w:p w:rsidR="00CB2398" w:rsidRDefault="00CB2398" w:rsidP="001C4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DD" w:rsidRDefault="001C45D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A047D"/>
    <w:multiLevelType w:val="singleLevel"/>
    <w:tmpl w:val="E2FA047D"/>
    <w:lvl w:ilvl="0">
      <w:start w:val="3"/>
      <w:numFmt w:val="chineseCounting"/>
      <w:suff w:val="space"/>
      <w:lvlText w:val="第%1部分"/>
      <w:lvlJc w:val="left"/>
      <w:rPr>
        <w:rFonts w:hint="eastAsia"/>
      </w:rPr>
    </w:lvl>
  </w:abstractNum>
  <w:abstractNum w:abstractNumId="1">
    <w:nsid w:val="34F85EAF"/>
    <w:multiLevelType w:val="multilevel"/>
    <w:tmpl w:val="34F85EAF"/>
    <w:lvl w:ilvl="0">
      <w:start w:val="1"/>
      <w:numFmt w:val="chineseCountingThousand"/>
      <w:pStyle w:val="B01"/>
      <w:suff w:val="nothing"/>
      <w:lvlText w:val="%1、"/>
      <w:lvlJc w:val="left"/>
      <w:pPr>
        <w:ind w:left="-637" w:firstLine="63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8D2448"/>
    <w:multiLevelType w:val="multilevel"/>
    <w:tmpl w:val="448D2448"/>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2E95E5"/>
    <w:multiLevelType w:val="singleLevel"/>
    <w:tmpl w:val="682E95E5"/>
    <w:lvl w:ilvl="0">
      <w:start w:val="4"/>
      <w:numFmt w:val="chineseCounting"/>
      <w:suff w:val="nothing"/>
      <w:lvlText w:val="（%1）"/>
      <w:lvlJc w:val="left"/>
      <w:rPr>
        <w:rFonts w:hint="eastAsia"/>
      </w:rPr>
    </w:lvl>
  </w:abstractNum>
  <w:abstractNum w:abstractNumId="4">
    <w:nsid w:val="7EE55BF3"/>
    <w:multiLevelType w:val="multilevel"/>
    <w:tmpl w:val="7EE55BF3"/>
    <w:lvl w:ilvl="0">
      <w:start w:val="1"/>
      <w:numFmt w:val="chineseCountingThousand"/>
      <w:pStyle w:val="B02"/>
      <w:suff w:val="nothing"/>
      <w:lvlText w:val="（%1）"/>
      <w:lvlJc w:val="left"/>
      <w:pPr>
        <w:ind w:left="-635" w:firstLine="635"/>
      </w:pPr>
      <w:rPr>
        <w:rFonts w:hint="eastAsia"/>
      </w:rPr>
    </w:lvl>
    <w:lvl w:ilvl="1">
      <w:start w:val="1"/>
      <w:numFmt w:val="decimal"/>
      <w:lvlText w:val="%2."/>
      <w:lvlJc w:val="left"/>
      <w:pPr>
        <w:ind w:left="980" w:hanging="360"/>
      </w:pPr>
      <w:rPr>
        <w:rFonts w:hint="default"/>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4"/>
  </w:num>
  <w:num w:numId="2">
    <w:abstractNumId w:val="1"/>
  </w:num>
  <w:num w:numId="3">
    <w:abstractNumId w:val="3"/>
  </w:num>
  <w:num w:numId="4">
    <w:abstractNumId w:val="0"/>
  </w:num>
  <w:num w:numId="5">
    <w:abstractNumId w:val="4"/>
    <w:lvlOverride w:ilvl="0">
      <w:startOverride w:val="1"/>
    </w:lvlOverride>
  </w:num>
  <w:num w:numId="6">
    <w:abstractNumId w:val="4"/>
    <w:lvlOverride w:ilvl="0">
      <w:startOverride w:val="1"/>
    </w:lvlOverride>
  </w:num>
  <w:num w:numId="7">
    <w:abstractNumId w:val="2"/>
  </w:num>
  <w:num w:numId="8">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C45DD"/>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3C2"/>
    <w:rsid w:val="004B199D"/>
    <w:rsid w:val="004B4690"/>
    <w:rsid w:val="004D5A09"/>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2F96"/>
    <w:rsid w:val="00A45BB7"/>
    <w:rsid w:val="00A56DF2"/>
    <w:rsid w:val="00A56E6E"/>
    <w:rsid w:val="00A67AB5"/>
    <w:rsid w:val="00A733B2"/>
    <w:rsid w:val="00A741C2"/>
    <w:rsid w:val="00A91760"/>
    <w:rsid w:val="00A93B00"/>
    <w:rsid w:val="00A93C21"/>
    <w:rsid w:val="00A94B9A"/>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A7826"/>
    <w:rsid w:val="00CB2398"/>
    <w:rsid w:val="00CB34A1"/>
    <w:rsid w:val="00CB4E70"/>
    <w:rsid w:val="00CC09B6"/>
    <w:rsid w:val="00CC4E77"/>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028D"/>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6AE"/>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0A1FA0"/>
    <w:rsid w:val="10C055FF"/>
    <w:rsid w:val="13DE58B1"/>
    <w:rsid w:val="16BB723D"/>
    <w:rsid w:val="240371BF"/>
    <w:rsid w:val="25FE3713"/>
    <w:rsid w:val="29FD04D3"/>
    <w:rsid w:val="2AD521EF"/>
    <w:rsid w:val="319F7F4E"/>
    <w:rsid w:val="32D65CFE"/>
    <w:rsid w:val="32F37981"/>
    <w:rsid w:val="380F3919"/>
    <w:rsid w:val="40696271"/>
    <w:rsid w:val="40F00A71"/>
    <w:rsid w:val="4A2A63ED"/>
    <w:rsid w:val="4CDE7D34"/>
    <w:rsid w:val="4ECE2238"/>
    <w:rsid w:val="4EF932CB"/>
    <w:rsid w:val="516E19A6"/>
    <w:rsid w:val="525E12AB"/>
    <w:rsid w:val="61EF2B0F"/>
    <w:rsid w:val="6BE83D76"/>
    <w:rsid w:val="6C47377A"/>
    <w:rsid w:val="6CD72CF0"/>
    <w:rsid w:val="6D07459F"/>
    <w:rsid w:val="715F2C9F"/>
    <w:rsid w:val="72734D90"/>
    <w:rsid w:val="79545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5DD"/>
    <w:pPr>
      <w:widowControl w:val="0"/>
      <w:jc w:val="both"/>
    </w:pPr>
    <w:rPr>
      <w:kern w:val="2"/>
      <w:sz w:val="21"/>
      <w:szCs w:val="24"/>
    </w:rPr>
  </w:style>
  <w:style w:type="paragraph" w:styleId="1">
    <w:name w:val="heading 1"/>
    <w:basedOn w:val="a"/>
    <w:next w:val="a"/>
    <w:link w:val="1Char"/>
    <w:uiPriority w:val="9"/>
    <w:qFormat/>
    <w:rsid w:val="001C45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C45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C45D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1C45DD"/>
    <w:pPr>
      <w:spacing w:beforeLines="30"/>
    </w:pPr>
    <w:rPr>
      <w:rFonts w:ascii="仿宋_GB2312" w:eastAsia="仿宋_GB2312"/>
      <w:kern w:val="0"/>
      <w:sz w:val="30"/>
    </w:rPr>
  </w:style>
  <w:style w:type="paragraph" w:styleId="30">
    <w:name w:val="toc 3"/>
    <w:basedOn w:val="a"/>
    <w:next w:val="a"/>
    <w:uiPriority w:val="39"/>
    <w:unhideWhenUsed/>
    <w:qFormat/>
    <w:rsid w:val="001C45DD"/>
    <w:pPr>
      <w:tabs>
        <w:tab w:val="right" w:leader="dot" w:pos="8296"/>
      </w:tabs>
      <w:ind w:leftChars="400" w:left="840"/>
    </w:pPr>
  </w:style>
  <w:style w:type="paragraph" w:styleId="a4">
    <w:name w:val="Balloon Text"/>
    <w:basedOn w:val="a"/>
    <w:link w:val="Char0"/>
    <w:uiPriority w:val="99"/>
    <w:semiHidden/>
    <w:unhideWhenUsed/>
    <w:qFormat/>
    <w:rsid w:val="001C45DD"/>
    <w:rPr>
      <w:sz w:val="18"/>
      <w:szCs w:val="18"/>
    </w:rPr>
  </w:style>
  <w:style w:type="paragraph" w:styleId="a5">
    <w:name w:val="footer"/>
    <w:basedOn w:val="a"/>
    <w:link w:val="Char1"/>
    <w:uiPriority w:val="99"/>
    <w:qFormat/>
    <w:rsid w:val="001C45DD"/>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1C45D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C45DD"/>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C45DD"/>
    <w:pPr>
      <w:tabs>
        <w:tab w:val="right" w:leader="dot" w:pos="8296"/>
      </w:tabs>
      <w:ind w:leftChars="200" w:left="420"/>
    </w:pPr>
  </w:style>
  <w:style w:type="character" w:styleId="a7">
    <w:name w:val="Strong"/>
    <w:basedOn w:val="a0"/>
    <w:uiPriority w:val="99"/>
    <w:qFormat/>
    <w:rsid w:val="001C45DD"/>
    <w:rPr>
      <w:b/>
    </w:rPr>
  </w:style>
  <w:style w:type="character" w:styleId="a8">
    <w:name w:val="Hyperlink"/>
    <w:basedOn w:val="a0"/>
    <w:uiPriority w:val="99"/>
    <w:unhideWhenUsed/>
    <w:qFormat/>
    <w:rsid w:val="001C45DD"/>
    <w:rPr>
      <w:color w:val="0000FF" w:themeColor="hyperlink"/>
      <w:u w:val="single"/>
    </w:rPr>
  </w:style>
  <w:style w:type="character" w:customStyle="1" w:styleId="HeaderChar">
    <w:name w:val="Header Char"/>
    <w:basedOn w:val="a0"/>
    <w:uiPriority w:val="99"/>
    <w:semiHidden/>
    <w:qFormat/>
    <w:rsid w:val="001C45DD"/>
    <w:rPr>
      <w:rFonts w:ascii="Times New Roman" w:hAnsi="Times New Roman"/>
      <w:sz w:val="18"/>
      <w:szCs w:val="18"/>
    </w:rPr>
  </w:style>
  <w:style w:type="character" w:customStyle="1" w:styleId="Char2">
    <w:name w:val="页眉 Char"/>
    <w:link w:val="a6"/>
    <w:uiPriority w:val="99"/>
    <w:semiHidden/>
    <w:qFormat/>
    <w:locked/>
    <w:rsid w:val="001C45DD"/>
    <w:rPr>
      <w:sz w:val="18"/>
    </w:rPr>
  </w:style>
  <w:style w:type="character" w:customStyle="1" w:styleId="FooterChar">
    <w:name w:val="Footer Char"/>
    <w:basedOn w:val="a0"/>
    <w:uiPriority w:val="99"/>
    <w:semiHidden/>
    <w:qFormat/>
    <w:rsid w:val="001C45DD"/>
    <w:rPr>
      <w:rFonts w:ascii="Times New Roman" w:hAnsi="Times New Roman"/>
      <w:sz w:val="18"/>
      <w:szCs w:val="18"/>
    </w:rPr>
  </w:style>
  <w:style w:type="character" w:customStyle="1" w:styleId="Char1">
    <w:name w:val="页脚 Char"/>
    <w:link w:val="a5"/>
    <w:uiPriority w:val="99"/>
    <w:qFormat/>
    <w:locked/>
    <w:rsid w:val="001C45DD"/>
    <w:rPr>
      <w:sz w:val="18"/>
    </w:rPr>
  </w:style>
  <w:style w:type="character" w:customStyle="1" w:styleId="BodyTextChar">
    <w:name w:val="Body Text Char"/>
    <w:basedOn w:val="a0"/>
    <w:uiPriority w:val="99"/>
    <w:semiHidden/>
    <w:qFormat/>
    <w:rsid w:val="001C45DD"/>
    <w:rPr>
      <w:rFonts w:ascii="Times New Roman" w:hAnsi="Times New Roman"/>
      <w:szCs w:val="24"/>
    </w:rPr>
  </w:style>
  <w:style w:type="character" w:customStyle="1" w:styleId="Char">
    <w:name w:val="正文文本 Char"/>
    <w:link w:val="a3"/>
    <w:uiPriority w:val="99"/>
    <w:qFormat/>
    <w:locked/>
    <w:rsid w:val="001C45DD"/>
    <w:rPr>
      <w:rFonts w:ascii="仿宋_GB2312" w:eastAsia="仿宋_GB2312" w:hAnsi="Times New Roman"/>
      <w:sz w:val="24"/>
    </w:rPr>
  </w:style>
  <w:style w:type="paragraph" w:customStyle="1" w:styleId="Default">
    <w:name w:val="Default"/>
    <w:uiPriority w:val="99"/>
    <w:qFormat/>
    <w:rsid w:val="001C45DD"/>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1C45DD"/>
    <w:pPr>
      <w:ind w:firstLineChars="200" w:firstLine="420"/>
    </w:pPr>
  </w:style>
  <w:style w:type="character" w:customStyle="1" w:styleId="1Char">
    <w:name w:val="标题 1 Char"/>
    <w:basedOn w:val="a0"/>
    <w:link w:val="1"/>
    <w:uiPriority w:val="9"/>
    <w:qFormat/>
    <w:rsid w:val="001C45DD"/>
    <w:rPr>
      <w:rFonts w:ascii="Times New Roman" w:hAnsi="Times New Roman"/>
      <w:b/>
      <w:bCs/>
      <w:kern w:val="44"/>
      <w:sz w:val="44"/>
      <w:szCs w:val="44"/>
    </w:rPr>
  </w:style>
  <w:style w:type="character" w:customStyle="1" w:styleId="2Char">
    <w:name w:val="标题 2 Char"/>
    <w:basedOn w:val="a0"/>
    <w:link w:val="2"/>
    <w:uiPriority w:val="9"/>
    <w:qFormat/>
    <w:rsid w:val="001C45DD"/>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C45D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1C45DD"/>
    <w:rPr>
      <w:rFonts w:ascii="Times New Roman" w:hAnsi="Times New Roman"/>
      <w:kern w:val="2"/>
      <w:sz w:val="18"/>
      <w:szCs w:val="18"/>
    </w:rPr>
  </w:style>
  <w:style w:type="character" w:customStyle="1" w:styleId="3Char">
    <w:name w:val="标题 3 Char"/>
    <w:basedOn w:val="a0"/>
    <w:link w:val="3"/>
    <w:uiPriority w:val="9"/>
    <w:qFormat/>
    <w:rsid w:val="001C45DD"/>
    <w:rPr>
      <w:rFonts w:ascii="Times New Roman" w:hAnsi="Times New Roman"/>
      <w:b/>
      <w:bCs/>
      <w:kern w:val="2"/>
      <w:sz w:val="32"/>
      <w:szCs w:val="32"/>
    </w:rPr>
  </w:style>
  <w:style w:type="paragraph" w:customStyle="1" w:styleId="TOC2">
    <w:name w:val="TOC 标题2"/>
    <w:basedOn w:val="1"/>
    <w:next w:val="a"/>
    <w:uiPriority w:val="39"/>
    <w:unhideWhenUsed/>
    <w:qFormat/>
    <w:rsid w:val="001C45D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B02">
    <w:name w:val="〖B02〗二级标题"/>
    <w:next w:val="a"/>
    <w:qFormat/>
    <w:rsid w:val="001C45DD"/>
    <w:pPr>
      <w:widowControl w:val="0"/>
      <w:numPr>
        <w:numId w:val="1"/>
      </w:numPr>
      <w:spacing w:line="600" w:lineRule="exact"/>
      <w:outlineLvl w:val="1"/>
    </w:pPr>
    <w:rPr>
      <w:rFonts w:ascii="楷体_GB2312" w:eastAsia="楷体_GB2312" w:hAnsi="Calibri"/>
      <w:kern w:val="2"/>
      <w:sz w:val="32"/>
      <w:szCs w:val="21"/>
      <w:lang w:val="zh-CN"/>
    </w:rPr>
  </w:style>
  <w:style w:type="paragraph" w:customStyle="1" w:styleId="WPSOffice1">
    <w:name w:val="WPSOffice手动目录 1"/>
    <w:qFormat/>
    <w:rsid w:val="001C45DD"/>
    <w:rPr>
      <w:rFonts w:ascii="Calibri" w:hAnsi="Calibri"/>
    </w:rPr>
  </w:style>
  <w:style w:type="paragraph" w:customStyle="1" w:styleId="WPSOffice2">
    <w:name w:val="WPSOffice手动目录 2"/>
    <w:qFormat/>
    <w:rsid w:val="001C45DD"/>
    <w:pPr>
      <w:ind w:leftChars="200" w:left="200"/>
    </w:pPr>
    <w:rPr>
      <w:rFonts w:ascii="Calibri" w:hAnsi="Calibri"/>
    </w:rPr>
  </w:style>
  <w:style w:type="paragraph" w:customStyle="1" w:styleId="WPSOffice3">
    <w:name w:val="WPSOffice手动目录 3"/>
    <w:qFormat/>
    <w:rsid w:val="001C45DD"/>
    <w:pPr>
      <w:ind w:leftChars="400" w:left="400"/>
    </w:pPr>
    <w:rPr>
      <w:rFonts w:ascii="Calibri" w:hAnsi="Calibri"/>
    </w:rPr>
  </w:style>
  <w:style w:type="paragraph" w:customStyle="1" w:styleId="A08">
    <w:name w:val="〖A08〗公文标题"/>
    <w:next w:val="a"/>
    <w:qFormat/>
    <w:rsid w:val="001C45DD"/>
    <w:pPr>
      <w:widowControl w:val="0"/>
      <w:topLinePunct/>
      <w:spacing w:line="700" w:lineRule="exact"/>
      <w:jc w:val="center"/>
    </w:pPr>
    <w:rPr>
      <w:rFonts w:ascii="方正小标宋简体" w:eastAsia="方正小标宋简体" w:hAnsi="Calibri"/>
      <w:kern w:val="2"/>
      <w:sz w:val="44"/>
      <w:szCs w:val="21"/>
    </w:rPr>
  </w:style>
  <w:style w:type="paragraph" w:customStyle="1" w:styleId="B01">
    <w:name w:val="〖B01〗一级标题"/>
    <w:next w:val="a"/>
    <w:qFormat/>
    <w:rsid w:val="001C45DD"/>
    <w:pPr>
      <w:numPr>
        <w:numId w:val="2"/>
      </w:numPr>
      <w:topLinePunct/>
      <w:spacing w:line="600" w:lineRule="exact"/>
      <w:outlineLvl w:val="0"/>
    </w:pPr>
    <w:rPr>
      <w:rFonts w:ascii="黑体" w:eastAsia="黑体" w:hAnsi="Calibri"/>
      <w:kern w:val="2"/>
      <w:sz w:val="32"/>
      <w:szCs w:val="32"/>
    </w:rPr>
  </w:style>
  <w:style w:type="paragraph" w:customStyle="1" w:styleId="C01">
    <w:name w:val="〖C01〗正文"/>
    <w:qFormat/>
    <w:rsid w:val="001C45DD"/>
    <w:pPr>
      <w:widowControl w:val="0"/>
      <w:topLinePunct/>
      <w:spacing w:line="600" w:lineRule="exact"/>
      <w:ind w:firstLineChars="200" w:firstLine="637"/>
    </w:pPr>
    <w:rPr>
      <w:rFonts w:ascii="仿宋_GB2312" w:eastAsia="仿宋_GB2312" w:hAnsi="Calibri"/>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1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1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1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__61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___71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163.15</c:v>
                </c:pt>
                <c:pt idx="1">
                  <c:v>163.15</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833.14</c:v>
                </c:pt>
                <c:pt idx="1">
                  <c:v>338.78999999999979</c:v>
                </c:pt>
              </c:numCache>
            </c:numRef>
          </c:val>
        </c:ser>
        <c:dLbls>
          <c:showVal val="1"/>
        </c:dLbls>
        <c:gapWidth val="219"/>
        <c:overlap val="-27"/>
        <c:axId val="149412864"/>
        <c:axId val="150336256"/>
      </c:barChart>
      <c:catAx>
        <c:axId val="149412864"/>
        <c:scaling>
          <c:orientation val="minMax"/>
        </c:scaling>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150336256"/>
        <c:crosses val="autoZero"/>
        <c:auto val="1"/>
        <c:lblAlgn val="ctr"/>
        <c:lblOffset val="100"/>
      </c:catAx>
      <c:valAx>
        <c:axId val="150336256"/>
        <c:scaling>
          <c:orientation val="minMax"/>
        </c:scaling>
        <c:delete val="1"/>
        <c:axPos val="l"/>
        <c:numFmt formatCode="General" sourceLinked="1"/>
        <c:majorTickMark val="none"/>
        <c:tickLblPos val="none"/>
        <c:crossAx val="14941286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Pt>
            <c:idx val="2"/>
            <c:spPr>
              <a:solidFill>
                <a:srgbClr val="65C4CB"/>
              </a:solidFill>
              <a:ln w="25400" cap="rnd">
                <a:noFill/>
                <a:prstDash val="solid"/>
                <a:round/>
              </a:ln>
              <a:effectLst/>
            </c:spPr>
          </c:dPt>
          <c:dPt>
            <c:idx val="4"/>
            <c:spPr>
              <a:solidFill>
                <a:srgbClr val="9BBB59">
                  <a:lumMod val="75000"/>
                </a:srgbClr>
              </a:solidFill>
              <a:ln w="25400" cap="rnd">
                <a:noFill/>
                <a:prstDash val="solid"/>
                <a:round/>
              </a:ln>
              <a:effectLst/>
            </c:spPr>
          </c:dPt>
          <c:dPt>
            <c:idx val="5"/>
            <c:spPr>
              <a:solidFill>
                <a:srgbClr val="9BBB59">
                  <a:lumMod val="60000"/>
                  <a:lumOff val="40000"/>
                </a:srgbClr>
              </a:solidFill>
              <a:ln w="25400" cap="rnd">
                <a:noFill/>
                <a:prstDash val="solid"/>
                <a:round/>
              </a:ln>
              <a:effectLst/>
            </c:spPr>
          </c:dPt>
          <c:dPt>
            <c:idx val="6"/>
            <c:spPr>
              <a:solidFill>
                <a:srgbClr val="F79646">
                  <a:lumMod val="75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Sheet1!$B$2:$B$9</c:f>
              <c:numCache>
                <c:formatCode>General</c:formatCode>
                <c:ptCount val="8"/>
                <c:pt idx="0">
                  <c:v>833.13981000000001</c:v>
                </c:pt>
                <c:pt idx="1">
                  <c:v>0</c:v>
                </c:pt>
                <c:pt idx="2">
                  <c:v>0</c:v>
                </c:pt>
                <c:pt idx="3">
                  <c:v>0</c:v>
                </c:pt>
                <c:pt idx="4">
                  <c:v>0</c:v>
                </c:pt>
                <c:pt idx="5">
                  <c:v>0</c:v>
                </c:pt>
                <c:pt idx="6">
                  <c:v>0</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legendEntry>
        <c:idx val="7"/>
        <c:delete val="1"/>
      </c:legendEntry>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Pt>
            <c:idx val="2"/>
            <c:spPr>
              <a:solidFill>
                <a:srgbClr val="65C4CB"/>
              </a:solidFill>
              <a:ln w="25400" cap="rnd">
                <a:noFill/>
                <a:prstDash val="solid"/>
                <a:round/>
              </a:ln>
              <a:effectLst/>
            </c:spPr>
          </c:dPt>
          <c:dPt>
            <c:idx val="3"/>
            <c:spPr>
              <a:solidFill>
                <a:srgbClr val="F79646">
                  <a:lumMod val="60000"/>
                  <a:lumOff val="40000"/>
                </a:srgbClr>
              </a:solidFill>
              <a:ln w="25400" cap="rnd">
                <a:noFill/>
                <a:prstDash val="solid"/>
                <a:round/>
              </a:ln>
              <a:effectLst/>
            </c:spPr>
          </c:dPt>
          <c:dPt>
            <c:idx val="4"/>
            <c:spPr>
              <a:solidFill>
                <a:srgbClr val="9BBB59">
                  <a:lumMod val="75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92.790510000000026</c:v>
                </c:pt>
                <c:pt idx="1">
                  <c:v>245.99555000000001</c:v>
                </c:pt>
                <c:pt idx="2">
                  <c:v>0</c:v>
                </c:pt>
                <c:pt idx="3">
                  <c:v>0</c:v>
                </c:pt>
                <c:pt idx="4">
                  <c:v>0</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163.15</c:v>
                </c:pt>
                <c:pt idx="1">
                  <c:v>163.15</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833.14</c:v>
                </c:pt>
                <c:pt idx="1">
                  <c:v>323.98999999999978</c:v>
                </c:pt>
              </c:numCache>
            </c:numRef>
          </c:val>
        </c:ser>
        <c:dLbls>
          <c:showVal val="1"/>
        </c:dLbls>
        <c:gapWidth val="219"/>
        <c:overlap val="-27"/>
        <c:axId val="150590592"/>
        <c:axId val="150592128"/>
      </c:barChart>
      <c:catAx>
        <c:axId val="150590592"/>
        <c:scaling>
          <c:orientation val="minMax"/>
        </c:scaling>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150592128"/>
        <c:crosses val="autoZero"/>
        <c:auto val="1"/>
        <c:lblAlgn val="ctr"/>
        <c:lblOffset val="100"/>
      </c:catAx>
      <c:valAx>
        <c:axId val="150592128"/>
        <c:scaling>
          <c:orientation val="minMax"/>
        </c:scaling>
        <c:delete val="1"/>
        <c:axPos val="l"/>
        <c:numFmt formatCode="General" sourceLinked="1"/>
        <c:majorTickMark val="none"/>
        <c:tickLblPos val="none"/>
        <c:crossAx val="15059059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226298751348807E-2"/>
          <c:y val="4.2042657916324944E-2"/>
          <c:w val="0.93217203638045343"/>
          <c:h val="0.75705496308449571"/>
        </c:manualLayout>
      </c:layout>
      <c:barChart>
        <c:barDir val="col"/>
        <c:grouping val="clustered"/>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153.55000000000001</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238.65</c:v>
                </c:pt>
              </c:numCache>
            </c:numRef>
          </c:val>
        </c:ser>
        <c:dLbls>
          <c:showVal val="1"/>
        </c:dLbls>
        <c:gapWidth val="219"/>
        <c:overlap val="-27"/>
        <c:axId val="151114880"/>
        <c:axId val="151116416"/>
      </c:barChart>
      <c:catAx>
        <c:axId val="151114880"/>
        <c:scaling>
          <c:orientation val="minMax"/>
        </c:scaling>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151116416"/>
        <c:crosses val="autoZero"/>
        <c:auto val="1"/>
        <c:lblAlgn val="ctr"/>
        <c:lblOffset val="100"/>
      </c:catAx>
      <c:valAx>
        <c:axId val="151116416"/>
        <c:scaling>
          <c:orientation val="minMax"/>
        </c:scaling>
        <c:delete val="1"/>
        <c:axPos val="l"/>
        <c:numFmt formatCode="General" sourceLinked="1"/>
        <c:majorTickMark val="none"/>
        <c:tickLblPos val="none"/>
        <c:crossAx val="15111488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Pt>
            <c:idx val="2"/>
            <c:spPr>
              <a:solidFill>
                <a:srgbClr val="65C4CB"/>
              </a:solidFill>
              <a:ln w="25400" cap="rnd">
                <a:noFill/>
                <a:prstDash val="solid"/>
                <a:round/>
              </a:ln>
              <a:effectLst/>
            </c:spPr>
          </c:dPt>
          <c:dPt>
            <c:idx val="4"/>
            <c:spPr>
              <a:solidFill>
                <a:srgbClr val="9BBB59">
                  <a:lumMod val="60000"/>
                  <a:lumOff val="40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一般公共服务（类）</c:v>
                </c:pt>
                <c:pt idx="1">
                  <c:v>自然资源海洋气象（类）</c:v>
                </c:pt>
                <c:pt idx="2">
                  <c:v>城乡社区（类）</c:v>
                </c:pt>
                <c:pt idx="3">
                  <c:v>灾害防治及应急管理（类）</c:v>
                </c:pt>
                <c:pt idx="4">
                  <c:v>农林水（类）</c:v>
                </c:pt>
              </c:strCache>
            </c:strRef>
          </c:cat>
          <c:val>
            <c:numRef>
              <c:f>Sheet1!$B$2:$B$6</c:f>
              <c:numCache>
                <c:formatCode>General</c:formatCode>
                <c:ptCount val="5"/>
                <c:pt idx="0">
                  <c:v>82.208460000000002</c:v>
                </c:pt>
                <c:pt idx="1">
                  <c:v>132.1541</c:v>
                </c:pt>
                <c:pt idx="2">
                  <c:v>4.2</c:v>
                </c:pt>
                <c:pt idx="3">
                  <c:v>7.87</c:v>
                </c:pt>
                <c:pt idx="4">
                  <c:v>12.218500000000001</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一般公共服务（类）</c:v>
                </c:pt>
                <c:pt idx="1">
                  <c:v>自然资源海洋气象（类）</c:v>
                </c:pt>
                <c:pt idx="2">
                  <c:v>城乡社区（类）</c:v>
                </c:pt>
                <c:pt idx="3">
                  <c:v>灾害防治及应急管理（类）</c:v>
                </c:pt>
                <c:pt idx="4">
                  <c:v>农林水（类）</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一般公共服务（类）</c:v>
                </c:pt>
                <c:pt idx="1">
                  <c:v>自然资源海洋气象（类）</c:v>
                </c:pt>
                <c:pt idx="2">
                  <c:v>城乡社区（类）</c:v>
                </c:pt>
                <c:pt idx="3">
                  <c:v>灾害防治及应急管理（类）</c:v>
                </c:pt>
                <c:pt idx="4">
                  <c:v>农林水（类）</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Pt>
            <c:idx val="2"/>
            <c:spPr>
              <a:solidFill>
                <a:srgbClr val="65C4CB"/>
              </a:solidFill>
              <a:ln w="25400" cap="rnd">
                <a:noFill/>
                <a:prstDash val="solid"/>
                <a:round/>
              </a:ln>
              <a:effectLst/>
            </c:spPr>
          </c:dPt>
          <c:dPt>
            <c:idx val="4"/>
            <c:spPr>
              <a:solidFill>
                <a:srgbClr val="1F497D">
                  <a:lumMod val="60000"/>
                  <a:lumOff val="40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Sheet1!$B$2:$B$7</c:f>
              <c:numCache>
                <c:formatCode>General</c:formatCode>
                <c:ptCount val="6"/>
                <c:pt idx="0">
                  <c:v>0</c:v>
                </c:pt>
                <c:pt idx="1">
                  <c:v>0</c:v>
                </c:pt>
                <c:pt idx="2">
                  <c:v>0</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legendEntry>
        <c:idx val="4"/>
        <c:delete val="1"/>
      </c:legendEntry>
      <c:legendEntry>
        <c:idx val="5"/>
        <c:delete val="1"/>
      </c:legendEntry>
      <c:layout>
        <c:manualLayout>
          <c:xMode val="edge"/>
          <c:yMode val="edge"/>
          <c:x val="0.18933399274645618"/>
          <c:y val="0.79928247734139002"/>
        </c:manualLayout>
      </c:layou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4DBA8-0314-43EF-BA0C-C185778A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2346</Words>
  <Characters>13377</Characters>
  <Application>Microsoft Office Word</Application>
  <DocSecurity>0</DocSecurity>
  <Lines>111</Lines>
  <Paragraphs>31</Paragraphs>
  <ScaleCrop>false</ScaleCrop>
  <Company>四川省财政厅</Company>
  <LinksUpToDate>false</LinksUpToDate>
  <CharactersWithSpaces>15692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张子莹</cp:lastModifiedBy>
  <cp:revision>44</cp:revision>
  <cp:lastPrinted>2020-09-28T06:30:00Z</cp:lastPrinted>
  <dcterms:created xsi:type="dcterms:W3CDTF">2020-08-04T01:49:00Z</dcterms:created>
  <dcterms:modified xsi:type="dcterms:W3CDTF">2020-09-28T08:03:00Z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