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93AAD">
      <w:pPr>
        <w:spacing w:line="600" w:lineRule="exact"/>
        <w:jc w:val="center"/>
        <w:rPr>
          <w:rFonts w:ascii="方正小标宋简体" w:hAnsi="宋体" w:eastAsia="方正小标宋简体"/>
          <w:color w:val="000000"/>
          <w:sz w:val="72"/>
          <w:szCs w:val="72"/>
        </w:rPr>
      </w:pPr>
      <w:bookmarkStart w:id="0" w:name="_Toc15306267"/>
    </w:p>
    <w:p w14:paraId="678BAEA3">
      <w:pPr>
        <w:spacing w:line="600" w:lineRule="exact"/>
        <w:jc w:val="center"/>
        <w:rPr>
          <w:rFonts w:ascii="方正小标宋简体" w:hAnsi="宋体" w:eastAsia="方正小标宋简体"/>
          <w:color w:val="000000"/>
          <w:sz w:val="72"/>
          <w:szCs w:val="72"/>
        </w:rPr>
      </w:pPr>
    </w:p>
    <w:p w14:paraId="3AC39613">
      <w:pPr>
        <w:spacing w:line="600" w:lineRule="exact"/>
        <w:jc w:val="center"/>
        <w:rPr>
          <w:rFonts w:ascii="方正小标宋简体" w:hAnsi="宋体" w:eastAsia="方正小标宋简体"/>
          <w:color w:val="000000"/>
          <w:sz w:val="72"/>
          <w:szCs w:val="72"/>
        </w:rPr>
      </w:pPr>
    </w:p>
    <w:p w14:paraId="110D6969">
      <w:pPr>
        <w:spacing w:line="600" w:lineRule="exact"/>
        <w:jc w:val="center"/>
        <w:rPr>
          <w:rFonts w:ascii="方正小标宋简体" w:hAnsi="宋体" w:eastAsia="方正小标宋简体"/>
          <w:color w:val="000000"/>
          <w:sz w:val="72"/>
          <w:szCs w:val="72"/>
        </w:rPr>
      </w:pPr>
    </w:p>
    <w:p w14:paraId="522C9D9A">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8918"/>
      <w:bookmarkStart w:id="4" w:name="_Toc15378441"/>
      <w:bookmarkStart w:id="5" w:name="_Toc15377425"/>
      <w:bookmarkStart w:id="6"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14:paraId="554C5B8D">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06268"/>
      <w:bookmarkStart w:id="8" w:name="_Toc15396476"/>
      <w:bookmarkStart w:id="9" w:name="_Toc15396598"/>
      <w:bookmarkStart w:id="10" w:name="_Toc15377426"/>
      <w:bookmarkStart w:id="11" w:name="_Toc15377194"/>
      <w:bookmarkStart w:id="12" w:name="_Toc1622"/>
      <w:bookmarkStart w:id="13" w:name="_Toc15378442"/>
      <w:r>
        <w:rPr>
          <w:rFonts w:hint="eastAsia" w:ascii="方正小标宋简体" w:hAnsi="宋体" w:eastAsia="方正小标宋简体"/>
          <w:color w:val="000000"/>
          <w:sz w:val="72"/>
          <w:szCs w:val="72"/>
        </w:rPr>
        <w:t>四川省乐山市应急管理局高新区分局部门决算</w:t>
      </w:r>
      <w:bookmarkEnd w:id="7"/>
      <w:bookmarkEnd w:id="8"/>
      <w:bookmarkEnd w:id="9"/>
      <w:bookmarkEnd w:id="10"/>
      <w:bookmarkEnd w:id="11"/>
      <w:bookmarkEnd w:id="12"/>
      <w:bookmarkEnd w:id="13"/>
    </w:p>
    <w:p w14:paraId="5A9B12EF">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39CEC364">
      <w:pPr>
        <w:widowControl/>
        <w:jc w:val="center"/>
        <w:rPr>
          <w:rFonts w:ascii="黑体" w:hAnsi="黑体" w:eastAsia="黑体" w:cstheme="minorBidi"/>
          <w:sz w:val="28"/>
          <w:szCs w:val="28"/>
        </w:rPr>
      </w:pPr>
    </w:p>
    <w:p w14:paraId="04484AA8">
      <w:pPr>
        <w:pStyle w:val="10"/>
      </w:pPr>
      <w:r>
        <w:rPr>
          <w:rFonts w:hint="eastAsia"/>
        </w:rPr>
        <w:t>公开时间：2020年9月30日</w:t>
      </w:r>
    </w:p>
    <w:p w14:paraId="06F78524"/>
    <w:sdt>
      <w:sdtPr>
        <w:rPr>
          <w:rFonts w:ascii="宋体" w:hAnsi="宋体"/>
        </w:rPr>
        <w:id w:val="147452851"/>
        <w:docPartObj>
          <w:docPartGallery w:val="Table of Contents"/>
          <w:docPartUnique/>
        </w:docPartObj>
      </w:sdtPr>
      <w:sdtEndPr>
        <w:rPr>
          <w:rFonts w:ascii="宋体" w:hAnsi="宋体"/>
          <w:b/>
        </w:rPr>
      </w:sdtEndPr>
      <w:sdtContent>
        <w:p w14:paraId="5A5FF06B">
          <w:pPr>
            <w:jc w:val="center"/>
          </w:pPr>
          <w:bookmarkStart w:id="14" w:name="_Toc15377196"/>
          <w:bookmarkStart w:id="15" w:name="_Toc15396599"/>
        </w:p>
        <w:p w14:paraId="2A0C4FB8">
          <w:pPr>
            <w:pStyle w:val="30"/>
            <w:tabs>
              <w:tab w:val="right" w:leader="dot" w:pos="8306"/>
            </w:tabs>
            <w:rPr>
              <w:rFonts w:ascii="仿宋" w:hAnsi="仿宋" w:eastAsia="仿宋" w:cs="仿宋"/>
              <w:b/>
              <w:sz w:val="28"/>
              <w:szCs w:val="28"/>
            </w:rPr>
          </w:pPr>
          <w:r>
            <w:fldChar w:fldCharType="begin"/>
          </w:r>
          <w:r>
            <w:instrText xml:space="preserve">TOC \o "1-2" \h \u </w:instrText>
          </w:r>
          <w:r>
            <w:fldChar w:fldCharType="separate"/>
          </w:r>
          <w:r>
            <w:fldChar w:fldCharType="begin"/>
          </w:r>
          <w:r>
            <w:instrText xml:space="preserve"> HYPERLINK \l "_Toc31968" </w:instrText>
          </w:r>
          <w:r>
            <w:fldChar w:fldCharType="separate"/>
          </w:r>
          <w:r>
            <w:rPr>
              <w:rFonts w:hint="eastAsia" w:ascii="仿宋" w:hAnsi="仿宋" w:eastAsia="仿宋" w:cs="仿宋"/>
              <w:b/>
              <w:sz w:val="28"/>
              <w:szCs w:val="28"/>
            </w:rPr>
            <w:t>第一部分 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_Toc31968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E3D29B3">
          <w:pPr>
            <w:pStyle w:val="31"/>
            <w:tabs>
              <w:tab w:val="right" w:leader="dot" w:pos="8306"/>
            </w:tabs>
            <w:ind w:left="420"/>
            <w:rPr>
              <w:rFonts w:ascii="仿宋" w:hAnsi="仿宋" w:eastAsia="仿宋" w:cs="仿宋"/>
              <w:sz w:val="28"/>
              <w:szCs w:val="28"/>
            </w:rPr>
          </w:pPr>
          <w:r>
            <w:fldChar w:fldCharType="begin"/>
          </w:r>
          <w:r>
            <w:instrText xml:space="preserve"> HYPERLINK \l "_Toc19488" </w:instrText>
          </w:r>
          <w: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_Toc19488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E650B6">
          <w:pPr>
            <w:pStyle w:val="31"/>
            <w:tabs>
              <w:tab w:val="right" w:leader="dot" w:pos="8306"/>
            </w:tabs>
            <w:ind w:left="420"/>
            <w:rPr>
              <w:rFonts w:ascii="仿宋" w:hAnsi="仿宋" w:eastAsia="仿宋" w:cs="仿宋"/>
              <w:sz w:val="28"/>
              <w:szCs w:val="28"/>
            </w:rPr>
          </w:pPr>
          <w:r>
            <w:fldChar w:fldCharType="begin"/>
          </w:r>
          <w:r>
            <w:instrText xml:space="preserve"> HYPERLINK \l "_Toc25202"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B89525">
          <w:pPr>
            <w:pStyle w:val="30"/>
            <w:tabs>
              <w:tab w:val="right" w:leader="dot" w:pos="8306"/>
            </w:tabs>
            <w:rPr>
              <w:rFonts w:ascii="仿宋" w:hAnsi="仿宋" w:eastAsia="仿宋" w:cs="仿宋"/>
              <w:b/>
              <w:sz w:val="28"/>
              <w:szCs w:val="28"/>
            </w:rPr>
          </w:pPr>
          <w:r>
            <w:fldChar w:fldCharType="begin"/>
          </w:r>
          <w:r>
            <w:instrText xml:space="preserve"> HYPERLINK \l "_Toc32056" </w:instrText>
          </w:r>
          <w:r>
            <w:fldChar w:fldCharType="separate"/>
          </w:r>
          <w:r>
            <w:rPr>
              <w:rFonts w:hint="eastAsia" w:ascii="仿宋" w:hAnsi="仿宋" w:eastAsia="仿宋" w:cs="仿宋"/>
              <w:b/>
              <w:sz w:val="28"/>
              <w:szCs w:val="28"/>
            </w:rPr>
            <w:t>第二部分 2019年度部门决算情况说明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_Toc32056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65A2FAF">
          <w:pPr>
            <w:pStyle w:val="31"/>
            <w:tabs>
              <w:tab w:val="right" w:leader="dot" w:pos="8306"/>
            </w:tabs>
            <w:ind w:left="420"/>
            <w:rPr>
              <w:rFonts w:ascii="仿宋" w:hAnsi="仿宋" w:eastAsia="仿宋" w:cs="仿宋"/>
              <w:sz w:val="28"/>
              <w:szCs w:val="28"/>
            </w:rPr>
          </w:pPr>
          <w:r>
            <w:fldChar w:fldCharType="begin"/>
          </w:r>
          <w:r>
            <w:instrText xml:space="preserve"> HYPERLINK \l "_Toc5606"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_Toc5606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C97F45">
          <w:pPr>
            <w:pStyle w:val="31"/>
            <w:tabs>
              <w:tab w:val="right" w:leader="dot" w:pos="8306"/>
            </w:tabs>
            <w:ind w:left="420"/>
            <w:rPr>
              <w:rFonts w:ascii="仿宋" w:hAnsi="仿宋" w:eastAsia="仿宋" w:cs="仿宋"/>
              <w:sz w:val="28"/>
              <w:szCs w:val="28"/>
            </w:rPr>
          </w:pPr>
          <w:r>
            <w:fldChar w:fldCharType="begin"/>
          </w:r>
          <w:r>
            <w:instrText xml:space="preserve"> HYPERLINK \l "_Toc19019"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_Toc19019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DEA837">
          <w:pPr>
            <w:pStyle w:val="31"/>
            <w:tabs>
              <w:tab w:val="right" w:leader="dot" w:pos="8306"/>
            </w:tabs>
            <w:ind w:left="420"/>
            <w:rPr>
              <w:rFonts w:ascii="仿宋" w:hAnsi="仿宋" w:eastAsia="仿宋" w:cs="仿宋"/>
              <w:sz w:val="28"/>
              <w:szCs w:val="28"/>
            </w:rPr>
          </w:pPr>
          <w:r>
            <w:fldChar w:fldCharType="begin"/>
          </w:r>
          <w:r>
            <w:instrText xml:space="preserve"> HYPERLINK \l "_Toc4044"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_Toc4044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38582D6">
          <w:pPr>
            <w:pStyle w:val="31"/>
            <w:tabs>
              <w:tab w:val="right" w:leader="dot" w:pos="8306"/>
            </w:tabs>
            <w:ind w:left="420"/>
            <w:rPr>
              <w:rFonts w:ascii="仿宋" w:hAnsi="仿宋" w:eastAsia="仿宋" w:cs="仿宋"/>
              <w:sz w:val="28"/>
              <w:szCs w:val="28"/>
            </w:rPr>
          </w:pPr>
          <w:r>
            <w:fldChar w:fldCharType="begin"/>
          </w:r>
          <w:r>
            <w:instrText xml:space="preserve"> HYPERLINK \l "_Toc1547"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_Toc1547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042396">
          <w:pPr>
            <w:pStyle w:val="31"/>
            <w:tabs>
              <w:tab w:val="right" w:leader="dot" w:pos="8306"/>
            </w:tabs>
            <w:ind w:left="420"/>
            <w:rPr>
              <w:rFonts w:ascii="仿宋" w:hAnsi="仿宋" w:eastAsia="仿宋" w:cs="仿宋"/>
              <w:sz w:val="28"/>
              <w:szCs w:val="28"/>
            </w:rPr>
          </w:pPr>
          <w:r>
            <w:fldChar w:fldCharType="begin"/>
          </w:r>
          <w:r>
            <w:instrText xml:space="preserve"> HYPERLINK \l "_Toc8008"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_Toc8008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2C11B2">
          <w:pPr>
            <w:pStyle w:val="31"/>
            <w:tabs>
              <w:tab w:val="right" w:leader="dot" w:pos="8306"/>
            </w:tabs>
            <w:ind w:left="420"/>
            <w:rPr>
              <w:rFonts w:ascii="仿宋" w:hAnsi="仿宋" w:eastAsia="仿宋" w:cs="仿宋"/>
              <w:sz w:val="28"/>
              <w:szCs w:val="28"/>
            </w:rPr>
          </w:pPr>
          <w:r>
            <w:fldChar w:fldCharType="begin"/>
          </w:r>
          <w:r>
            <w:instrText xml:space="preserve"> HYPERLINK \l "_Toc886"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5474FB">
          <w:pPr>
            <w:pStyle w:val="31"/>
            <w:tabs>
              <w:tab w:val="right" w:leader="dot" w:pos="8306"/>
            </w:tabs>
            <w:ind w:left="420"/>
            <w:rPr>
              <w:rFonts w:ascii="仿宋" w:hAnsi="仿宋" w:eastAsia="仿宋" w:cs="仿宋"/>
              <w:sz w:val="28"/>
              <w:szCs w:val="28"/>
            </w:rPr>
          </w:pPr>
          <w:r>
            <w:fldChar w:fldCharType="begin"/>
          </w:r>
          <w:r>
            <w:instrText xml:space="preserve"> HYPERLINK \l "_Toc22376"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_Toc22376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025ACB">
          <w:pPr>
            <w:pStyle w:val="31"/>
            <w:tabs>
              <w:tab w:val="right" w:leader="dot" w:pos="8306"/>
            </w:tabs>
            <w:ind w:left="420"/>
            <w:rPr>
              <w:rFonts w:ascii="仿宋" w:hAnsi="仿宋" w:eastAsia="仿宋" w:cs="仿宋"/>
              <w:sz w:val="28"/>
              <w:szCs w:val="28"/>
            </w:rPr>
          </w:pPr>
          <w:r>
            <w:fldChar w:fldCharType="begin"/>
          </w:r>
          <w:r>
            <w:instrText xml:space="preserve"> HYPERLINK \l "_Toc27019"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_Toc27019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3B6D1A">
          <w:pPr>
            <w:pStyle w:val="31"/>
            <w:tabs>
              <w:tab w:val="right" w:leader="dot" w:pos="8306"/>
            </w:tabs>
            <w:ind w:left="420"/>
            <w:rPr>
              <w:rFonts w:ascii="仿宋" w:hAnsi="仿宋" w:eastAsia="仿宋" w:cs="仿宋"/>
              <w:sz w:val="28"/>
              <w:szCs w:val="28"/>
            </w:rPr>
          </w:pPr>
          <w:r>
            <w:fldChar w:fldCharType="begin"/>
          </w:r>
          <w:r>
            <w:instrText xml:space="preserve"> HYPERLINK \l "_Toc6889"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_Toc6889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9777C0">
          <w:pPr>
            <w:pStyle w:val="31"/>
            <w:tabs>
              <w:tab w:val="right" w:leader="dot" w:pos="8306"/>
            </w:tabs>
            <w:ind w:left="420"/>
            <w:rPr>
              <w:rFonts w:ascii="仿宋" w:hAnsi="仿宋" w:eastAsia="仿宋" w:cs="仿宋"/>
              <w:sz w:val="28"/>
              <w:szCs w:val="28"/>
            </w:rPr>
          </w:pPr>
          <w:r>
            <w:fldChar w:fldCharType="begin"/>
          </w:r>
          <w:r>
            <w:instrText xml:space="preserve"> HYPERLINK \l "_Toc23151"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_Toc23151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EDC3DA">
          <w:pPr>
            <w:pStyle w:val="30"/>
            <w:tabs>
              <w:tab w:val="right" w:leader="dot" w:pos="8306"/>
            </w:tabs>
            <w:rPr>
              <w:rFonts w:ascii="仿宋" w:hAnsi="仿宋" w:eastAsia="仿宋" w:cs="仿宋"/>
              <w:b/>
              <w:sz w:val="28"/>
              <w:szCs w:val="28"/>
            </w:rPr>
          </w:pPr>
          <w:r>
            <w:fldChar w:fldCharType="begin"/>
          </w:r>
          <w:r>
            <w:instrText xml:space="preserve"> HYPERLINK \l "_Toc16434" </w:instrText>
          </w:r>
          <w: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_Toc16434 </w:instrText>
          </w:r>
          <w:r>
            <w:rPr>
              <w:rFonts w:hint="eastAsia" w:ascii="仿宋" w:hAnsi="仿宋" w:eastAsia="仿宋" w:cs="仿宋"/>
              <w:b/>
              <w:sz w:val="28"/>
              <w:szCs w:val="28"/>
            </w:rPr>
            <w:fldChar w:fldCharType="separate"/>
          </w:r>
          <w:r>
            <w:rPr>
              <w:rFonts w:hint="eastAsia" w:ascii="仿宋" w:hAnsi="仿宋" w:eastAsia="仿宋" w:cs="仿宋"/>
              <w:b/>
              <w:sz w:val="28"/>
              <w:szCs w:val="28"/>
            </w:rPr>
            <w:t>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81DD3FE">
          <w:pPr>
            <w:pStyle w:val="30"/>
            <w:tabs>
              <w:tab w:val="right" w:leader="dot" w:pos="8306"/>
            </w:tabs>
            <w:rPr>
              <w:rFonts w:ascii="仿宋" w:hAnsi="仿宋" w:eastAsia="仿宋" w:cs="仿宋"/>
              <w:b/>
              <w:sz w:val="28"/>
              <w:szCs w:val="28"/>
            </w:rPr>
          </w:pPr>
          <w:r>
            <w:fldChar w:fldCharType="begin"/>
          </w:r>
          <w:r>
            <w:instrText xml:space="preserve"> HYPERLINK \l "_Toc1109" </w:instrText>
          </w:r>
          <w: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_Toc1109 </w:instrText>
          </w:r>
          <w:r>
            <w:rPr>
              <w:rFonts w:hint="eastAsia" w:ascii="仿宋" w:hAnsi="仿宋" w:eastAsia="仿宋" w:cs="仿宋"/>
              <w:b/>
              <w:sz w:val="28"/>
              <w:szCs w:val="28"/>
            </w:rPr>
            <w:fldChar w:fldCharType="separate"/>
          </w:r>
          <w:r>
            <w:rPr>
              <w:rFonts w:hint="eastAsia" w:ascii="仿宋" w:hAnsi="仿宋" w:eastAsia="仿宋" w:cs="仿宋"/>
              <w:b/>
              <w:sz w:val="28"/>
              <w:szCs w:val="28"/>
            </w:rPr>
            <w:t>28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2B2F2532">
          <w:pPr>
            <w:pStyle w:val="30"/>
            <w:tabs>
              <w:tab w:val="right" w:leader="dot" w:pos="8306"/>
            </w:tabs>
            <w:rPr>
              <w:rFonts w:ascii="仿宋" w:hAnsi="仿宋" w:eastAsia="仿宋" w:cs="仿宋"/>
              <w:b/>
              <w:sz w:val="28"/>
              <w:szCs w:val="28"/>
            </w:rPr>
          </w:pPr>
          <w:r>
            <w:fldChar w:fldCharType="begin"/>
          </w:r>
          <w:r>
            <w:instrText xml:space="preserve"> HYPERLINK \l "_Toc28753" </w:instrText>
          </w:r>
          <w:r>
            <w:fldChar w:fldCharType="separate"/>
          </w:r>
          <w:r>
            <w:rPr>
              <w:rFonts w:hint="eastAsia" w:ascii="仿宋" w:hAnsi="仿宋" w:eastAsia="仿宋" w:cs="仿宋"/>
              <w:b/>
              <w:sz w:val="28"/>
              <w:szCs w:val="28"/>
            </w:rPr>
            <w:t>附件1</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_Toc28753 </w:instrText>
          </w:r>
          <w:r>
            <w:rPr>
              <w:rFonts w:hint="eastAsia" w:ascii="仿宋" w:hAnsi="仿宋" w:eastAsia="仿宋" w:cs="仿宋"/>
              <w:b/>
              <w:sz w:val="28"/>
              <w:szCs w:val="28"/>
            </w:rPr>
            <w:fldChar w:fldCharType="separate"/>
          </w:r>
          <w:r>
            <w:rPr>
              <w:rFonts w:hint="eastAsia" w:ascii="仿宋" w:hAnsi="仿宋" w:eastAsia="仿宋" w:cs="仿宋"/>
              <w:b/>
              <w:sz w:val="28"/>
              <w:szCs w:val="28"/>
            </w:rPr>
            <w:t>28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72E23AC1">
          <w:pPr>
            <w:pStyle w:val="30"/>
            <w:tabs>
              <w:tab w:val="right" w:leader="dot" w:pos="8306"/>
            </w:tabs>
            <w:rPr>
              <w:rFonts w:ascii="仿宋" w:hAnsi="仿宋" w:eastAsia="仿宋" w:cs="仿宋"/>
              <w:b/>
              <w:sz w:val="28"/>
              <w:szCs w:val="28"/>
            </w:rPr>
          </w:pPr>
          <w:r>
            <w:fldChar w:fldCharType="begin"/>
          </w:r>
          <w:r>
            <w:instrText xml:space="preserve"> HYPERLINK \l "_Toc31008" </w:instrText>
          </w:r>
          <w: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_Toc31008 </w:instrText>
          </w:r>
          <w:r>
            <w:rPr>
              <w:rFonts w:hint="eastAsia" w:ascii="仿宋" w:hAnsi="仿宋" w:eastAsia="仿宋" w:cs="仿宋"/>
              <w:b/>
              <w:sz w:val="28"/>
              <w:szCs w:val="28"/>
            </w:rPr>
            <w:fldChar w:fldCharType="separate"/>
          </w:r>
          <w:r>
            <w:rPr>
              <w:rFonts w:hint="eastAsia" w:ascii="仿宋" w:hAnsi="仿宋" w:eastAsia="仿宋" w:cs="仿宋"/>
              <w:b/>
              <w:sz w:val="28"/>
              <w:szCs w:val="28"/>
            </w:rPr>
            <w:t>28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DCF39B0">
          <w:pPr>
            <w:pStyle w:val="31"/>
            <w:tabs>
              <w:tab w:val="right" w:leader="dot" w:pos="8306"/>
            </w:tabs>
            <w:ind w:left="420"/>
            <w:rPr>
              <w:rFonts w:ascii="仿宋" w:hAnsi="仿宋" w:eastAsia="仿宋" w:cs="仿宋"/>
              <w:sz w:val="28"/>
              <w:szCs w:val="28"/>
            </w:rPr>
          </w:pPr>
          <w:r>
            <w:fldChar w:fldCharType="begin"/>
          </w:r>
          <w:r>
            <w:instrText xml:space="preserve"> HYPERLINK \l "_Toc22175"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_Toc22175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C6F1FA">
          <w:pPr>
            <w:pStyle w:val="31"/>
            <w:tabs>
              <w:tab w:val="right" w:leader="dot" w:pos="8306"/>
            </w:tabs>
            <w:ind w:left="420"/>
            <w:rPr>
              <w:rFonts w:ascii="仿宋" w:hAnsi="仿宋" w:eastAsia="仿宋" w:cs="仿宋"/>
              <w:sz w:val="28"/>
              <w:szCs w:val="28"/>
            </w:rPr>
          </w:pPr>
          <w:r>
            <w:fldChar w:fldCharType="begin"/>
          </w:r>
          <w:r>
            <w:instrText xml:space="preserve"> HYPERLINK \l "_Toc31697"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_Toc31697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74026E">
          <w:pPr>
            <w:pStyle w:val="31"/>
            <w:tabs>
              <w:tab w:val="right" w:leader="dot" w:pos="8306"/>
            </w:tabs>
            <w:ind w:left="420"/>
            <w:rPr>
              <w:rFonts w:ascii="仿宋" w:hAnsi="仿宋" w:eastAsia="仿宋" w:cs="仿宋"/>
              <w:sz w:val="28"/>
              <w:szCs w:val="28"/>
            </w:rPr>
          </w:pPr>
          <w:r>
            <w:fldChar w:fldCharType="begin"/>
          </w:r>
          <w:r>
            <w:instrText xml:space="preserve"> HYPERLINK \l "_Toc8923"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_Toc8923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0AF5A4">
          <w:pPr>
            <w:pStyle w:val="31"/>
            <w:tabs>
              <w:tab w:val="right" w:leader="dot" w:pos="8306"/>
            </w:tabs>
            <w:ind w:left="420"/>
            <w:rPr>
              <w:rFonts w:ascii="仿宋" w:hAnsi="仿宋" w:eastAsia="仿宋" w:cs="仿宋"/>
              <w:sz w:val="28"/>
              <w:szCs w:val="28"/>
            </w:rPr>
          </w:pPr>
          <w:r>
            <w:fldChar w:fldCharType="begin"/>
          </w:r>
          <w:r>
            <w:instrText xml:space="preserve"> HYPERLINK \l "_Toc15054"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_Toc15054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FEDF01">
          <w:pPr>
            <w:pStyle w:val="31"/>
            <w:tabs>
              <w:tab w:val="right" w:leader="dot" w:pos="8306"/>
            </w:tabs>
            <w:ind w:left="420"/>
            <w:rPr>
              <w:rFonts w:ascii="仿宋" w:hAnsi="仿宋" w:eastAsia="仿宋" w:cs="仿宋"/>
              <w:sz w:val="28"/>
              <w:szCs w:val="28"/>
            </w:rPr>
          </w:pPr>
          <w:r>
            <w:fldChar w:fldCharType="begin"/>
          </w:r>
          <w:r>
            <w:instrText xml:space="preserve"> HYPERLINK \l "_Toc6384"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_Toc6384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6A64F6">
          <w:pPr>
            <w:pStyle w:val="31"/>
            <w:tabs>
              <w:tab w:val="right" w:leader="dot" w:pos="8306"/>
            </w:tabs>
            <w:ind w:left="420"/>
            <w:rPr>
              <w:rFonts w:ascii="仿宋" w:hAnsi="仿宋" w:eastAsia="仿宋" w:cs="仿宋"/>
              <w:sz w:val="28"/>
              <w:szCs w:val="28"/>
            </w:rPr>
          </w:pPr>
          <w:r>
            <w:fldChar w:fldCharType="begin"/>
          </w:r>
          <w:r>
            <w:instrText xml:space="preserve"> HYPERLINK \l "_Toc25864"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_Toc25864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579537">
          <w:pPr>
            <w:pStyle w:val="31"/>
            <w:tabs>
              <w:tab w:val="right" w:leader="dot" w:pos="8306"/>
            </w:tabs>
            <w:ind w:left="420"/>
            <w:rPr>
              <w:rFonts w:ascii="仿宋" w:hAnsi="仿宋" w:eastAsia="仿宋" w:cs="仿宋"/>
              <w:sz w:val="28"/>
              <w:szCs w:val="28"/>
            </w:rPr>
          </w:pPr>
          <w:r>
            <w:fldChar w:fldCharType="begin"/>
          </w:r>
          <w:r>
            <w:instrText xml:space="preserve"> HYPERLINK \l "_Toc1013"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7ACA17">
          <w:pPr>
            <w:pStyle w:val="31"/>
            <w:tabs>
              <w:tab w:val="right" w:leader="dot" w:pos="8306"/>
            </w:tabs>
            <w:ind w:left="420"/>
            <w:rPr>
              <w:rFonts w:ascii="仿宋" w:hAnsi="仿宋" w:eastAsia="仿宋" w:cs="仿宋"/>
              <w:sz w:val="28"/>
              <w:szCs w:val="28"/>
            </w:rPr>
          </w:pPr>
          <w:r>
            <w:fldChar w:fldCharType="begin"/>
          </w:r>
          <w:r>
            <w:instrText xml:space="preserve"> HYPERLINK \l "_Toc14716"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_Toc14716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D1892D">
          <w:pPr>
            <w:pStyle w:val="31"/>
            <w:tabs>
              <w:tab w:val="right" w:leader="dot" w:pos="8306"/>
            </w:tabs>
            <w:ind w:left="420"/>
            <w:rPr>
              <w:rFonts w:ascii="仿宋" w:hAnsi="仿宋" w:eastAsia="仿宋" w:cs="仿宋"/>
              <w:sz w:val="28"/>
              <w:szCs w:val="28"/>
            </w:rPr>
          </w:pPr>
          <w:r>
            <w:fldChar w:fldCharType="begin"/>
          </w:r>
          <w:r>
            <w:instrText xml:space="preserve"> HYPERLINK \l "_Toc20015"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_Toc20015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13FA9D">
          <w:pPr>
            <w:pStyle w:val="31"/>
            <w:tabs>
              <w:tab w:val="right" w:leader="dot" w:pos="8306"/>
            </w:tabs>
            <w:ind w:left="420"/>
            <w:rPr>
              <w:rFonts w:ascii="仿宋" w:hAnsi="仿宋" w:eastAsia="仿宋" w:cs="仿宋"/>
              <w:sz w:val="28"/>
              <w:szCs w:val="28"/>
            </w:rPr>
          </w:pPr>
          <w:r>
            <w:fldChar w:fldCharType="begin"/>
          </w:r>
          <w:r>
            <w:instrText xml:space="preserve"> HYPERLINK \l "_Toc27566"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_Toc27566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A56220">
          <w:pPr>
            <w:pStyle w:val="31"/>
            <w:tabs>
              <w:tab w:val="right" w:leader="dot" w:pos="8306"/>
            </w:tabs>
            <w:ind w:left="420"/>
            <w:rPr>
              <w:rFonts w:ascii="仿宋" w:hAnsi="仿宋" w:eastAsia="仿宋" w:cs="仿宋"/>
              <w:sz w:val="28"/>
              <w:szCs w:val="28"/>
            </w:rPr>
          </w:pPr>
          <w:r>
            <w:fldChar w:fldCharType="begin"/>
          </w:r>
          <w:r>
            <w:instrText xml:space="preserve"> HYPERLINK \l "_Toc19993"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_Toc19993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C137A7">
          <w:pPr>
            <w:pStyle w:val="31"/>
            <w:tabs>
              <w:tab w:val="right" w:leader="dot" w:pos="8306"/>
            </w:tabs>
            <w:ind w:left="420"/>
            <w:rPr>
              <w:rFonts w:ascii="仿宋" w:hAnsi="仿宋" w:eastAsia="仿宋" w:cs="仿宋"/>
              <w:sz w:val="28"/>
              <w:szCs w:val="28"/>
            </w:rPr>
          </w:pP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t>37</w:t>
          </w:r>
        </w:p>
        <w:p w14:paraId="322BA0B2">
          <w:pPr>
            <w:pStyle w:val="31"/>
            <w:tabs>
              <w:tab w:val="right" w:leader="dot" w:pos="8306"/>
            </w:tabs>
            <w:ind w:left="420"/>
            <w:rPr>
              <w:rFonts w:ascii="仿宋" w:hAnsi="仿宋" w:eastAsia="仿宋" w:cs="仿宋"/>
              <w:sz w:val="28"/>
              <w:szCs w:val="28"/>
            </w:rPr>
          </w:pPr>
          <w:r>
            <w:rPr>
              <w:rFonts w:hint="eastAsia" w:ascii="仿宋" w:hAnsi="仿宋" w:eastAsia="仿宋" w:cs="仿宋"/>
              <w:sz w:val="28"/>
              <w:szCs w:val="28"/>
            </w:rPr>
            <w:t>十三、</w:t>
          </w:r>
          <w:r>
            <w:rPr>
              <w:rStyle w:val="25"/>
              <w:rFonts w:hint="eastAsia" w:ascii="仿宋" w:hAnsi="仿宋" w:eastAsia="仿宋"/>
              <w:b w:val="0"/>
              <w:bCs w:val="0"/>
              <w:sz w:val="28"/>
              <w:szCs w:val="28"/>
            </w:rPr>
            <w:t>国有资本经营预算支出</w:t>
          </w:r>
          <w:r>
            <w:rPr>
              <w:rFonts w:hint="eastAsia" w:ascii="仿宋" w:hAnsi="仿宋" w:eastAsia="仿宋" w:cs="仿宋"/>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t>37</w:t>
          </w:r>
        </w:p>
        <w:p w14:paraId="77D6A09A">
          <w:pPr>
            <w:pStyle w:val="31"/>
            <w:tabs>
              <w:tab w:val="right" w:leader="dot" w:pos="8306"/>
            </w:tabs>
            <w:ind w:left="420"/>
          </w:pPr>
        </w:p>
        <w:p w14:paraId="4EE71607">
          <w:r>
            <w:rPr>
              <w:b/>
            </w:rPr>
            <w:fldChar w:fldCharType="end"/>
          </w:r>
        </w:p>
      </w:sdtContent>
    </w:sdt>
    <w:p w14:paraId="07F7F8C2">
      <w:pPr>
        <w:widowControl/>
        <w:spacing w:line="440" w:lineRule="exact"/>
        <w:jc w:val="left"/>
        <w:rPr>
          <w:rFonts w:ascii="仿宋" w:hAnsi="仿宋" w:eastAsia="仿宋"/>
          <w:bCs/>
          <w:kern w:val="44"/>
          <w:sz w:val="24"/>
        </w:rPr>
      </w:pPr>
      <w:r>
        <w:rPr>
          <w:rFonts w:ascii="仿宋" w:hAnsi="仿宋" w:eastAsia="仿宋"/>
          <w:b/>
          <w:sz w:val="24"/>
        </w:rPr>
        <w:br w:type="page"/>
      </w:r>
    </w:p>
    <w:p w14:paraId="15B6784F">
      <w:pPr>
        <w:pStyle w:val="2"/>
        <w:jc w:val="center"/>
        <w:rPr>
          <w:rStyle w:val="24"/>
          <w:rFonts w:ascii="黑体" w:hAnsi="黑体" w:eastAsia="黑体"/>
          <w:b/>
          <w:bCs w:val="0"/>
        </w:rPr>
      </w:pPr>
      <w:bookmarkStart w:id="16" w:name="_Toc31968"/>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bookmarkEnd w:id="16"/>
    </w:p>
    <w:p w14:paraId="4489F146">
      <w:pPr>
        <w:widowControl/>
        <w:jc w:val="left"/>
        <w:rPr>
          <w:rFonts w:ascii="黑体" w:eastAsia="黑体"/>
          <w:color w:val="000000"/>
          <w:sz w:val="32"/>
          <w:szCs w:val="32"/>
        </w:rPr>
      </w:pPr>
    </w:p>
    <w:p w14:paraId="76DAF7D4">
      <w:pPr>
        <w:pStyle w:val="3"/>
        <w:rPr>
          <w:rStyle w:val="25"/>
          <w:rFonts w:ascii="仿宋" w:hAnsi="仿宋" w:eastAsia="仿宋"/>
          <w:b w:val="0"/>
          <w:bCs w:val="0"/>
        </w:rPr>
      </w:pPr>
      <w:bookmarkStart w:id="17" w:name="_Toc15396600"/>
      <w:bookmarkStart w:id="18" w:name="_Toc19488"/>
      <w:bookmarkStart w:id="19"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7"/>
      <w:bookmarkEnd w:id="18"/>
      <w:bookmarkEnd w:id="19"/>
    </w:p>
    <w:p w14:paraId="297581C3">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8445"/>
      <w:bookmarkStart w:id="21" w:name="_Toc15377198"/>
      <w:r>
        <w:rPr>
          <w:rFonts w:hint="eastAsia" w:ascii="仿宋" w:hAnsi="仿宋" w:eastAsia="仿宋"/>
          <w:bCs/>
          <w:color w:val="000000"/>
          <w:sz w:val="32"/>
          <w:szCs w:val="32"/>
        </w:rPr>
        <w:t>（一）主要职能。</w:t>
      </w:r>
    </w:p>
    <w:p w14:paraId="216EF984">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1.负责应急管理工作，组织和指导各地、各部门应对安</w:t>
      </w:r>
      <w:r>
        <w:rPr>
          <w:rFonts w:ascii="仿宋" w:hAnsi="仿宋" w:eastAsia="仿宋"/>
          <w:bCs/>
          <w:color w:val="000000"/>
          <w:kern w:val="0"/>
          <w:sz w:val="32"/>
          <w:szCs w:val="32"/>
        </w:rPr>
        <w:t xml:space="preserve">全生产类、自然灾害类等突发事件和综合防灾减灾救灾工作。负责安全生产综合监督管理和工矿商贸安全生产监督管理工作。 </w:t>
      </w:r>
    </w:p>
    <w:p w14:paraId="0671E0B6">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2.</w:t>
      </w:r>
      <w:r>
        <w:rPr>
          <w:rFonts w:ascii="仿宋" w:hAnsi="仿宋" w:eastAsia="仿宋"/>
          <w:bCs/>
          <w:color w:val="000000"/>
          <w:kern w:val="0"/>
          <w:sz w:val="32"/>
          <w:szCs w:val="32"/>
        </w:rPr>
        <w:t xml:space="preserve">拟订应急管理、安全生产等政策措施，组织编制应急体系建设、安全生产和综合防灾减灾规划，拟订相关规范性文件。 </w:t>
      </w:r>
    </w:p>
    <w:p w14:paraId="2871F535">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3.</w:t>
      </w:r>
      <w:r>
        <w:rPr>
          <w:rFonts w:ascii="仿宋" w:hAnsi="仿宋" w:eastAsia="仿宋"/>
          <w:bCs/>
          <w:color w:val="000000"/>
          <w:kern w:val="0"/>
          <w:sz w:val="32"/>
          <w:szCs w:val="32"/>
        </w:rPr>
        <w:t xml:space="preserve">负责组织、指导应急预案体系建设，建立完善事故、灾难、自然灾害分级应对制度，牵头组织编制综合应急防灾减灾预案和安全生产类、自然灾害类、专项预案，负责应急预案衔接 工作，组织开展预案演练，推动应急避难设施建设。 </w:t>
      </w:r>
    </w:p>
    <w:p w14:paraId="3909E338">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4.</w:t>
      </w:r>
      <w:r>
        <w:rPr>
          <w:rFonts w:ascii="仿宋" w:hAnsi="仿宋" w:eastAsia="仿宋"/>
          <w:bCs/>
          <w:color w:val="000000"/>
          <w:kern w:val="0"/>
          <w:sz w:val="32"/>
          <w:szCs w:val="32"/>
        </w:rPr>
        <w:t xml:space="preserve">牵头建立统一的应急管理信息系统，负责信息传输渠道的规划和布局，建立监测预警和灾情报告制度，健全自然灾害信息资源获取和共享机制，依法统一发布灾情。 </w:t>
      </w:r>
    </w:p>
    <w:p w14:paraId="21A22DB3">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5.</w:t>
      </w:r>
      <w:r>
        <w:rPr>
          <w:rFonts w:ascii="仿宋" w:hAnsi="仿宋" w:eastAsia="仿宋"/>
          <w:bCs/>
          <w:color w:val="000000"/>
          <w:kern w:val="0"/>
          <w:sz w:val="32"/>
          <w:szCs w:val="32"/>
        </w:rPr>
        <w:t>负责组织、指导、协调安全生产类、自然灾害类等突发事件应急救援的有关工作，承担辖区内应对灾害指挥部工作</w:t>
      </w:r>
      <w:r>
        <w:rPr>
          <w:rFonts w:hint="eastAsia" w:ascii="仿宋" w:hAnsi="仿宋" w:eastAsia="仿宋"/>
          <w:bCs/>
          <w:color w:val="000000"/>
          <w:kern w:val="0"/>
          <w:sz w:val="32"/>
          <w:szCs w:val="32"/>
        </w:rPr>
        <w:t>，</w:t>
      </w:r>
      <w:r>
        <w:rPr>
          <w:rFonts w:ascii="仿宋" w:hAnsi="仿宋" w:eastAsia="仿宋"/>
          <w:bCs/>
          <w:color w:val="000000"/>
          <w:kern w:val="0"/>
          <w:sz w:val="32"/>
          <w:szCs w:val="32"/>
        </w:rPr>
        <w:t xml:space="preserve">综合研判突发事件发展态势并提出应对建议，负责组织灾害应急处置工作。 </w:t>
      </w:r>
    </w:p>
    <w:p w14:paraId="25701C2E">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6.</w:t>
      </w:r>
      <w:r>
        <w:rPr>
          <w:rFonts w:ascii="仿宋" w:hAnsi="仿宋" w:eastAsia="仿宋"/>
          <w:bCs/>
          <w:color w:val="000000"/>
          <w:kern w:val="0"/>
          <w:sz w:val="32"/>
          <w:szCs w:val="32"/>
        </w:rPr>
        <w:t xml:space="preserve">统一协调指挥各类应急专业队伍，建立应急协调联动机制，推进指挥平台对接，提请衔接解放军和武警部队参与应急救援工作。 </w:t>
      </w:r>
    </w:p>
    <w:p w14:paraId="4E5B31FF">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7.</w:t>
      </w:r>
      <w:r>
        <w:rPr>
          <w:rFonts w:ascii="仿宋" w:hAnsi="仿宋" w:eastAsia="仿宋"/>
          <w:bCs/>
          <w:color w:val="000000"/>
          <w:kern w:val="0"/>
          <w:sz w:val="32"/>
          <w:szCs w:val="32"/>
        </w:rPr>
        <w:t>按照国家相关政策和规定负责消防、抗洪抢险、地震和地质灾害救援、生产安全事故救援等专业应急救援力量建设</w:t>
      </w:r>
      <w:r>
        <w:rPr>
          <w:rFonts w:hint="eastAsia" w:ascii="仿宋" w:hAnsi="仿宋" w:eastAsia="仿宋"/>
          <w:bCs/>
          <w:color w:val="000000"/>
          <w:kern w:val="0"/>
          <w:sz w:val="32"/>
          <w:szCs w:val="32"/>
        </w:rPr>
        <w:t>，</w:t>
      </w:r>
      <w:r>
        <w:rPr>
          <w:rFonts w:ascii="仿宋" w:hAnsi="仿宋" w:eastAsia="仿宋"/>
          <w:bCs/>
          <w:color w:val="000000"/>
          <w:kern w:val="0"/>
          <w:sz w:val="32"/>
          <w:szCs w:val="32"/>
        </w:rPr>
        <w:t>依法依</w:t>
      </w:r>
      <w:r>
        <w:rPr>
          <w:rFonts w:hint="eastAsia" w:ascii="仿宋" w:hAnsi="仿宋" w:eastAsia="仿宋"/>
          <w:bCs/>
          <w:color w:val="000000"/>
          <w:kern w:val="0"/>
          <w:sz w:val="32"/>
          <w:szCs w:val="32"/>
          <w:lang w:eastAsia="zh-CN"/>
        </w:rPr>
        <w:t>规</w:t>
      </w:r>
      <w:r>
        <w:rPr>
          <w:rFonts w:ascii="仿宋" w:hAnsi="仿宋" w:eastAsia="仿宋"/>
          <w:bCs/>
          <w:color w:val="000000"/>
          <w:kern w:val="0"/>
          <w:sz w:val="32"/>
          <w:szCs w:val="32"/>
        </w:rPr>
        <w:t xml:space="preserve">统筹指导各地及社会应急救援力量和保障能力建设。 </w:t>
      </w:r>
    </w:p>
    <w:p w14:paraId="04BE005F">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8.</w:t>
      </w:r>
      <w:r>
        <w:rPr>
          <w:rFonts w:ascii="仿宋" w:hAnsi="仿宋" w:eastAsia="仿宋"/>
          <w:bCs/>
          <w:color w:val="000000"/>
          <w:kern w:val="0"/>
          <w:sz w:val="32"/>
          <w:szCs w:val="32"/>
        </w:rPr>
        <w:t xml:space="preserve">按照上级相关政策和高新区党工委、管委会相关规定负责消防工作，组织和指导消防监督、火灾预防、火灾扑救等工作。 </w:t>
      </w:r>
    </w:p>
    <w:p w14:paraId="6942A2BA">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9.</w:t>
      </w:r>
      <w:r>
        <w:rPr>
          <w:rFonts w:ascii="仿宋" w:hAnsi="仿宋" w:eastAsia="仿宋"/>
          <w:bCs/>
          <w:color w:val="000000"/>
          <w:kern w:val="0"/>
          <w:sz w:val="32"/>
          <w:szCs w:val="32"/>
        </w:rPr>
        <w:t xml:space="preserve">负责自然灾害综合监督预警工作，承担自然灾害综合风险评估工作，指导协调水旱灾害、地震和地质灾害等防治工作。 </w:t>
      </w:r>
    </w:p>
    <w:p w14:paraId="095B31C3">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10.</w:t>
      </w:r>
      <w:r>
        <w:rPr>
          <w:rFonts w:ascii="仿宋" w:hAnsi="仿宋" w:eastAsia="仿宋"/>
          <w:bCs/>
          <w:color w:val="000000"/>
          <w:kern w:val="0"/>
          <w:sz w:val="32"/>
          <w:szCs w:val="32"/>
        </w:rPr>
        <w:t xml:space="preserve">负责组织、协调灾害救助工作。组织和指导灾情核查、损失评估、救灾捐赠工作，管理、分配中央、省、市下拨及高新区救灾款物并监督使用。 </w:t>
      </w:r>
    </w:p>
    <w:p w14:paraId="3C11E44D">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11.</w:t>
      </w:r>
      <w:r>
        <w:rPr>
          <w:rFonts w:ascii="仿宋" w:hAnsi="仿宋" w:eastAsia="仿宋"/>
          <w:bCs/>
          <w:color w:val="000000"/>
          <w:kern w:val="0"/>
          <w:sz w:val="32"/>
          <w:szCs w:val="32"/>
        </w:rPr>
        <w:t xml:space="preserve">依法承担高新区管委会安全生产综合监督管理责任，指导协调、监督检查高新区有关部门和各乡（镇）人民政府安全生产工作，组织开展安全生产巡查、考核工作。 </w:t>
      </w:r>
    </w:p>
    <w:p w14:paraId="0727F0A6">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12.</w:t>
      </w:r>
      <w:r>
        <w:rPr>
          <w:rFonts w:ascii="仿宋" w:hAnsi="仿宋" w:eastAsia="仿宋"/>
          <w:bCs/>
          <w:color w:val="000000"/>
          <w:kern w:val="0"/>
          <w:sz w:val="32"/>
          <w:szCs w:val="32"/>
        </w:rPr>
        <w:t xml:space="preserve">按照分级、属地原则，依法监督检查工矿商贸生产经营单位贯彻执行安全生产法律法规情况及其安全生产条件有关设备（特种设备除外）、材料、劳动防护用品的安全生产管理工作。协助上级应急管理部门做好中央、省、市在高新区辖区内的工矿商贸企业安全生产监督管理工作。 </w:t>
      </w:r>
    </w:p>
    <w:p w14:paraId="41899360">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13.</w:t>
      </w:r>
      <w:r>
        <w:rPr>
          <w:rFonts w:ascii="仿宋" w:hAnsi="仿宋" w:eastAsia="仿宋"/>
          <w:bCs/>
          <w:color w:val="000000"/>
          <w:kern w:val="0"/>
          <w:sz w:val="32"/>
          <w:szCs w:val="32"/>
        </w:rPr>
        <w:t xml:space="preserve">承担煤矿、非煤矿山、危险化学品、非药品类易制毒化学品和烟花爆竹生产经营单位安全生产准入管理责任。负责危险化学品安全监督管理综合工作和烟花爆竹安全生产监督管理工作。 </w:t>
      </w:r>
    </w:p>
    <w:p w14:paraId="358D6D41">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14.</w:t>
      </w:r>
      <w:r>
        <w:rPr>
          <w:rFonts w:ascii="仿宋" w:hAnsi="仿宋" w:eastAsia="仿宋"/>
          <w:bCs/>
          <w:color w:val="000000"/>
          <w:kern w:val="0"/>
          <w:sz w:val="32"/>
          <w:szCs w:val="32"/>
        </w:rPr>
        <w:t xml:space="preserve">依法组织、指导安全生产事故调查处理，监督事故查处和责任追究落实情况。组织开展自然灾害类突发事件的调查评估工作。 </w:t>
      </w:r>
    </w:p>
    <w:p w14:paraId="632772C4">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15.</w:t>
      </w:r>
      <w:r>
        <w:rPr>
          <w:rFonts w:ascii="仿宋" w:hAnsi="仿宋" w:eastAsia="仿宋"/>
          <w:bCs/>
          <w:color w:val="000000"/>
          <w:kern w:val="0"/>
          <w:sz w:val="32"/>
          <w:szCs w:val="32"/>
        </w:rPr>
        <w:t xml:space="preserve">开展应急管理和安全生产方面的交流与合作，组织参与安全生产类、自然灾害类等突发事件的跨区域救援工作。 </w:t>
      </w:r>
    </w:p>
    <w:p w14:paraId="03FAE06A">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16.</w:t>
      </w:r>
      <w:r>
        <w:rPr>
          <w:rFonts w:ascii="仿宋" w:hAnsi="仿宋" w:eastAsia="仿宋"/>
          <w:bCs/>
          <w:color w:val="000000"/>
          <w:kern w:val="0"/>
          <w:sz w:val="32"/>
          <w:szCs w:val="32"/>
        </w:rPr>
        <w:t xml:space="preserve">制定应急物资储备和应急救援装备规划并组织实施，会同有关部门建立健全应急物资信息平台和调拨制度，在救灾时统一调度。 </w:t>
      </w:r>
    </w:p>
    <w:p w14:paraId="165EB7ED">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17.</w:t>
      </w:r>
      <w:r>
        <w:rPr>
          <w:rFonts w:ascii="仿宋" w:hAnsi="仿宋" w:eastAsia="仿宋"/>
          <w:bCs/>
          <w:color w:val="000000"/>
          <w:kern w:val="0"/>
          <w:sz w:val="32"/>
          <w:szCs w:val="32"/>
        </w:rPr>
        <w:t xml:space="preserve">负责应急管理、安全生产宣传教育和培训工作，组织和指导应急管理、安全生产的科学技术研究、推广应用信息化建设工作。 </w:t>
      </w:r>
    </w:p>
    <w:p w14:paraId="76961F2F">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18.</w:t>
      </w:r>
      <w:r>
        <w:rPr>
          <w:rFonts w:ascii="仿宋" w:hAnsi="仿宋" w:eastAsia="仿宋"/>
          <w:bCs/>
          <w:color w:val="000000"/>
          <w:kern w:val="0"/>
          <w:sz w:val="32"/>
          <w:szCs w:val="32"/>
        </w:rPr>
        <w:t xml:space="preserve">负责职责范围内的职业健康、生态环境保护、审批服务便民化工作。 </w:t>
      </w:r>
    </w:p>
    <w:p w14:paraId="79964383">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19.</w:t>
      </w:r>
      <w:r>
        <w:rPr>
          <w:rFonts w:ascii="仿宋" w:hAnsi="仿宋" w:eastAsia="仿宋"/>
          <w:bCs/>
          <w:color w:val="000000"/>
          <w:kern w:val="0"/>
          <w:sz w:val="32"/>
          <w:szCs w:val="32"/>
        </w:rPr>
        <w:t xml:space="preserve">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安全风险。二是坚持以人为本，把确保人民群众生命安全放在首位，确保受灾群众基本生活，加强应急预案演练，增强全民防灾减灾意识，提升公众知识普及和自救互救技能，切实减少人民伤亡和财产损失。三是树立安全发展理念，坚持生命至上、安全第 一，完善安全生产责任制，坚决遏制安全事故。 </w:t>
      </w:r>
    </w:p>
    <w:p w14:paraId="2373C852">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20.</w:t>
      </w:r>
      <w:r>
        <w:rPr>
          <w:rFonts w:ascii="仿宋" w:hAnsi="仿宋" w:eastAsia="仿宋"/>
          <w:bCs/>
          <w:color w:val="000000"/>
          <w:kern w:val="0"/>
          <w:sz w:val="32"/>
          <w:szCs w:val="32"/>
        </w:rPr>
        <w:t xml:space="preserve">完成高新区党工委、管委会交办的其他工作。 </w:t>
      </w:r>
    </w:p>
    <w:bookmarkEnd w:id="20"/>
    <w:bookmarkEnd w:id="21"/>
    <w:p w14:paraId="358449C0">
      <w:pPr>
        <w:pStyle w:val="5"/>
        <w:adjustRightInd w:val="0"/>
        <w:snapToGrid w:val="0"/>
        <w:spacing w:before="93" w:line="600" w:lineRule="exact"/>
        <w:outlineLvl w:val="2"/>
        <w:rPr>
          <w:rFonts w:ascii="仿宋" w:hAnsi="仿宋" w:eastAsia="仿宋"/>
          <w:bCs/>
          <w:color w:val="000000"/>
          <w:sz w:val="32"/>
          <w:szCs w:val="32"/>
        </w:rPr>
      </w:pPr>
      <w:bookmarkStart w:id="22" w:name="_Toc15378446"/>
      <w:bookmarkStart w:id="23"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2"/>
      <w:bookmarkEnd w:id="23"/>
    </w:p>
    <w:p w14:paraId="25852862">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一、坚持党政领导亲自抓，强化责任落实。一是充分发挥牵头抓总作用。党工委、管委会始终坚持安全生产基本盘不动摇底线，不折不扣贯彻中央、省、市有关安全生产工作决策部署。先后召开党工委会6次、主任会7次、专题会7次、全区性安全生产工作会7次来学习贯彻落实上级有关安全生产工作决策部署。二是顺应机构调整，及时完善新机构的配套机制。及时调整了区安委会成员单位及组成人员，构建了应急委“1+17”工作机制，制定出台了《乐山高新区党政领导干部安全生产责任制实施办法》等40个规范性或操作性文件。首次建立了13名行业领域专家组成的高新区安全生产专家库。修订完善了高新区2019年生产安全事故应急预案、抗震救灾应急预案等17个预案。三是发挥“头雁效应”，推动形成安全生产齐抓共管的氛围。在今年“春节”、“两会”、“五一”期间，市领导廖磊、廖克全，党工委、管委会主要领导广兵、谭春秋深入意凡家世界、尚纬股份、铁源气体、洛都寺等企业和乡镇开展安全生产调研指导。此外，分管委领导和其他委领导也定期或不定期带队深入两镇、企业督查督导安全生产工作，层层传导安全压力 。</w:t>
      </w:r>
    </w:p>
    <w:p w14:paraId="3B74AD3D">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二、坚持敏感节点不松懈，强化风险管控力度。紧绷“过节关”，在“春节”、“两会”、“清明”、“端午”、“汛期”、“中秋”等重要节点，我局都要提前谋划、周密部署，牵头组织两镇及有关部门对人员密集公共场所、易燃易爆场所、劳动密集型企业、交通要道等开展节前、节中、节后安全大检查，做好抓小、堵漏、防细措施，确保安全生产、平安度假。</w:t>
      </w:r>
    </w:p>
    <w:p w14:paraId="66105F33">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 xml:space="preserve">三、坚持以问题为导向，强化重点领域专项整治。以“安全生产大检查和七大专项整治行动、安全隐患‘ 清零’行动、‘五一'节前安全大检查”为抓手，对全区工贸企业、危险化学品企业、烟花爆竹经营单位、学校、医院、商场、在建工地、地质灾害隐患点等场所开展全方位、全覆盖、拉网式的安全大检查、大排查，及时消除安全隐患。全年共检查场所1062家，发现安全隐患985处，现场整改965处，限期整改20处，责令三停9家，临时查封9家，罚款9.935万元。 </w:t>
      </w:r>
    </w:p>
    <w:p w14:paraId="401A25D1">
      <w:pPr>
        <w:pStyle w:val="5"/>
        <w:adjustRightInd w:val="0"/>
        <w:snapToGrid w:val="0"/>
        <w:spacing w:before="93" w:line="600" w:lineRule="exact"/>
        <w:outlineLvl w:val="2"/>
        <w:rPr>
          <w:rFonts w:ascii="仿宋" w:hAnsi="仿宋" w:eastAsia="仿宋"/>
          <w:bCs/>
          <w:color w:val="000000"/>
          <w:sz w:val="32"/>
          <w:szCs w:val="32"/>
        </w:rPr>
      </w:pPr>
    </w:p>
    <w:p w14:paraId="76C9F130">
      <w:pPr>
        <w:pStyle w:val="3"/>
        <w:rPr>
          <w:rStyle w:val="25"/>
          <w:b w:val="0"/>
          <w:bCs w:val="0"/>
        </w:rPr>
      </w:pPr>
      <w:bookmarkStart w:id="24" w:name="_Toc15377200"/>
      <w:bookmarkStart w:id="25" w:name="_Toc25202"/>
      <w:bookmarkStart w:id="26"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4"/>
      <w:bookmarkEnd w:id="25"/>
      <w:bookmarkEnd w:id="26"/>
    </w:p>
    <w:p w14:paraId="0F4E7B46">
      <w:pPr>
        <w:ind w:firstLine="800" w:firstLineChars="250"/>
        <w:rPr>
          <w:rFonts w:ascii="仿宋" w:hAnsi="仿宋" w:eastAsia="仿宋"/>
          <w:sz w:val="32"/>
          <w:szCs w:val="32"/>
        </w:rPr>
      </w:pPr>
      <w:r>
        <w:rPr>
          <w:rFonts w:hint="eastAsia" w:ascii="仿宋" w:hAnsi="仿宋" w:eastAsia="仿宋"/>
          <w:sz w:val="32"/>
          <w:szCs w:val="32"/>
        </w:rPr>
        <w:t>四川省乐山市应急管理局高新区分局下属二级单位0个，其中行政单位0个，参照公务员法管理的事业单位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14:paraId="0871CCBE">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748AE85C">
      <w:pPr>
        <w:pStyle w:val="2"/>
        <w:ind w:right="440"/>
        <w:jc w:val="right"/>
        <w:rPr>
          <w:rStyle w:val="24"/>
          <w:rFonts w:ascii="黑体" w:hAnsi="黑体" w:eastAsia="黑体"/>
          <w:b w:val="0"/>
          <w:bCs w:val="0"/>
        </w:rPr>
      </w:pPr>
      <w:bookmarkStart w:id="27" w:name="_Toc32056"/>
      <w:bookmarkStart w:id="28" w:name="_Toc15377204"/>
      <w:bookmarkStart w:id="29"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7"/>
      <w:bookmarkEnd w:id="28"/>
      <w:bookmarkEnd w:id="29"/>
    </w:p>
    <w:p w14:paraId="5930395A"/>
    <w:p w14:paraId="34B086AF">
      <w:pPr>
        <w:pStyle w:val="23"/>
        <w:numPr>
          <w:ilvl w:val="0"/>
          <w:numId w:val="1"/>
        </w:numPr>
        <w:spacing w:line="600" w:lineRule="exact"/>
        <w:ind w:firstLineChars="0"/>
        <w:outlineLvl w:val="1"/>
        <w:rPr>
          <w:rStyle w:val="25"/>
          <w:rFonts w:ascii="黑体" w:hAnsi="黑体" w:eastAsia="黑体"/>
          <w:b w:val="0"/>
        </w:rPr>
      </w:pPr>
      <w:bookmarkStart w:id="30" w:name="_Toc15396603"/>
      <w:bookmarkStart w:id="31" w:name="_Toc5606"/>
      <w:bookmarkStart w:id="32"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0"/>
      <w:bookmarkEnd w:id="31"/>
      <w:bookmarkEnd w:id="32"/>
    </w:p>
    <w:p w14:paraId="13CE072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2019年度收入总计117.32万元、支出总计67.32万元。与2018年相比，收入总计增加117.32万元，增长100</w:t>
      </w:r>
      <w:r>
        <w:rPr>
          <w:rFonts w:ascii="仿宋" w:hAnsi="仿宋" w:eastAsia="仿宋"/>
          <w:color w:val="000000"/>
          <w:sz w:val="32"/>
          <w:szCs w:val="32"/>
        </w:rPr>
        <w:t>%</w:t>
      </w:r>
      <w:r>
        <w:rPr>
          <w:rFonts w:hint="eastAsia" w:ascii="仿宋" w:hAnsi="仿宋" w:eastAsia="仿宋"/>
          <w:color w:val="000000"/>
          <w:sz w:val="32"/>
          <w:szCs w:val="32"/>
        </w:rPr>
        <w:t>，支出总计增加67.32万元，增长100</w:t>
      </w:r>
      <w:r>
        <w:rPr>
          <w:rFonts w:ascii="仿宋" w:hAnsi="仿宋" w:eastAsia="仿宋"/>
          <w:color w:val="000000"/>
          <w:sz w:val="32"/>
          <w:szCs w:val="32"/>
        </w:rPr>
        <w:t>%</w:t>
      </w:r>
      <w:r>
        <w:rPr>
          <w:rFonts w:hint="eastAsia" w:ascii="仿宋" w:hAnsi="仿宋" w:eastAsia="仿宋"/>
          <w:color w:val="000000"/>
          <w:sz w:val="32"/>
          <w:szCs w:val="32"/>
        </w:rPr>
        <w:t>。主要变动原因是本单位为新增单位，无上年度数据。</w:t>
      </w:r>
    </w:p>
    <w:p w14:paraId="242C4792">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56051785">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5B2FA92E">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0F994AE8">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2A89426F">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28B458F4">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42D4FE5B">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1AD3115C">
      <w:pPr>
        <w:ind w:firstLine="640" w:firstLineChars="200"/>
        <w:rPr>
          <w:rFonts w:ascii="仿宋" w:hAnsi="仿宋" w:eastAsia="仿宋"/>
          <w:color w:val="000000" w:themeColor="text1"/>
          <w:sz w:val="32"/>
          <w:szCs w:val="32"/>
          <w14:textFill>
            <w14:solidFill>
              <w14:schemeClr w14:val="tx1"/>
            </w14:solidFill>
          </w14:textFill>
        </w:rPr>
      </w:pPr>
    </w:p>
    <w:p w14:paraId="1F4DB5D5">
      <w:pPr>
        <w:tabs>
          <w:tab w:val="left" w:pos="6343"/>
        </w:tabs>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4445</wp:posOffset>
            </wp:positionH>
            <wp:positionV relativeFrom="paragraph">
              <wp:posOffset>-2891155</wp:posOffset>
            </wp:positionV>
            <wp:extent cx="4500245" cy="3505200"/>
            <wp:effectExtent l="4445" t="4445" r="10160" b="717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8AC7B11">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4B32A6B6">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5A0D745A">
      <w:pPr>
        <w:spacing w:line="600" w:lineRule="exact"/>
        <w:ind w:firstLine="640" w:firstLineChars="200"/>
        <w:jc w:val="left"/>
        <w:rPr>
          <w:rFonts w:ascii="仿宋_GB2312" w:eastAsia="仿宋_GB2312"/>
          <w:color w:val="000000"/>
          <w:sz w:val="32"/>
          <w:szCs w:val="32"/>
        </w:rPr>
      </w:pPr>
    </w:p>
    <w:p w14:paraId="4356CF34">
      <w:pPr>
        <w:pStyle w:val="23"/>
        <w:numPr>
          <w:ilvl w:val="0"/>
          <w:numId w:val="1"/>
        </w:numPr>
        <w:spacing w:line="600" w:lineRule="exact"/>
        <w:ind w:firstLineChars="0"/>
        <w:outlineLvl w:val="1"/>
        <w:rPr>
          <w:rStyle w:val="25"/>
          <w:rFonts w:ascii="黑体" w:hAnsi="黑体" w:eastAsia="黑体"/>
          <w:b w:val="0"/>
        </w:rPr>
      </w:pPr>
      <w:bookmarkStart w:id="33" w:name="_Toc15396604"/>
      <w:bookmarkStart w:id="34" w:name="_Toc19019"/>
      <w:bookmarkStart w:id="3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33"/>
      <w:bookmarkEnd w:id="34"/>
      <w:bookmarkEnd w:id="35"/>
    </w:p>
    <w:p w14:paraId="5A4CE1EC">
      <w:pPr>
        <w:spacing w:line="600" w:lineRule="exact"/>
        <w:ind w:firstLine="640" w:firstLineChars="200"/>
        <w:outlineLvl w:val="1"/>
        <w:rPr>
          <w:rFonts w:ascii="仿宋" w:hAnsi="仿宋" w:eastAsia="仿宋"/>
          <w:color w:val="000000"/>
          <w:sz w:val="32"/>
          <w:szCs w:val="32"/>
        </w:rPr>
      </w:pPr>
      <w:bookmarkStart w:id="36" w:name="_Toc17785"/>
      <w:r>
        <w:rPr>
          <w:rFonts w:ascii="仿宋" w:hAnsi="仿宋" w:eastAsia="仿宋"/>
          <w:color w:val="000000"/>
          <w:sz w:val="32"/>
          <w:szCs w:val="32"/>
        </w:rPr>
        <w:t>201</w:t>
      </w:r>
      <w:r>
        <w:rPr>
          <w:rFonts w:hint="eastAsia" w:ascii="仿宋" w:hAnsi="仿宋" w:eastAsia="仿宋"/>
          <w:color w:val="000000"/>
          <w:sz w:val="32"/>
          <w:szCs w:val="32"/>
        </w:rPr>
        <w:t>9年本年收入合计117.32万元，其中：一般公共预算财政拨款收入117.32万元，占100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36"/>
    </w:p>
    <w:p w14:paraId="05992BC9">
      <w:pPr>
        <w:spacing w:line="600" w:lineRule="exact"/>
        <w:ind w:firstLine="640" w:firstLineChars="200"/>
        <w:rPr>
          <w:rFonts w:ascii="仿宋" w:hAnsi="仿宋" w:eastAsia="仿宋"/>
          <w:color w:val="000000"/>
          <w:sz w:val="32"/>
          <w:szCs w:val="32"/>
        </w:rPr>
      </w:pPr>
    </w:p>
    <w:p w14:paraId="5CCC7AAF">
      <w:pPr>
        <w:spacing w:line="600" w:lineRule="exact"/>
        <w:ind w:firstLine="640" w:firstLineChars="200"/>
        <w:rPr>
          <w:rFonts w:ascii="仿宋" w:hAnsi="仿宋" w:eastAsia="仿宋"/>
          <w:color w:val="000000"/>
          <w:sz w:val="32"/>
          <w:szCs w:val="32"/>
        </w:rPr>
      </w:pPr>
    </w:p>
    <w:p w14:paraId="0C7230CE">
      <w:pPr>
        <w:spacing w:line="600" w:lineRule="exact"/>
        <w:ind w:firstLine="640" w:firstLineChars="200"/>
        <w:rPr>
          <w:rFonts w:ascii="仿宋" w:hAnsi="仿宋" w:eastAsia="仿宋"/>
          <w:color w:val="000000"/>
          <w:sz w:val="32"/>
          <w:szCs w:val="32"/>
        </w:rPr>
      </w:pPr>
    </w:p>
    <w:p w14:paraId="1456390E">
      <w:pPr>
        <w:spacing w:line="600" w:lineRule="exact"/>
        <w:ind w:firstLine="640" w:firstLineChars="200"/>
        <w:rPr>
          <w:rFonts w:ascii="仿宋" w:hAnsi="仿宋" w:eastAsia="仿宋"/>
          <w:color w:val="000000"/>
          <w:sz w:val="32"/>
          <w:szCs w:val="32"/>
        </w:rPr>
      </w:pPr>
    </w:p>
    <w:p w14:paraId="07C0B1DF">
      <w:pPr>
        <w:spacing w:line="600" w:lineRule="exact"/>
        <w:ind w:firstLine="640" w:firstLineChars="200"/>
        <w:rPr>
          <w:rFonts w:ascii="仿宋" w:hAnsi="仿宋" w:eastAsia="仿宋"/>
          <w:color w:val="000000"/>
          <w:sz w:val="32"/>
          <w:szCs w:val="32"/>
        </w:rPr>
      </w:pPr>
    </w:p>
    <w:p w14:paraId="6E085F71">
      <w:pPr>
        <w:spacing w:line="600" w:lineRule="exact"/>
        <w:ind w:firstLine="640" w:firstLineChars="200"/>
        <w:rPr>
          <w:rFonts w:ascii="仿宋" w:hAnsi="仿宋" w:eastAsia="仿宋"/>
          <w:color w:val="000000"/>
          <w:sz w:val="32"/>
          <w:szCs w:val="32"/>
        </w:rPr>
      </w:pPr>
    </w:p>
    <w:p w14:paraId="2524756C">
      <w:pPr>
        <w:spacing w:line="600" w:lineRule="exact"/>
        <w:ind w:firstLine="640" w:firstLineChars="200"/>
        <w:rPr>
          <w:rFonts w:ascii="仿宋" w:hAnsi="仿宋" w:eastAsia="仿宋"/>
          <w:color w:val="000000"/>
          <w:sz w:val="32"/>
          <w:szCs w:val="32"/>
        </w:rPr>
      </w:pPr>
    </w:p>
    <w:p w14:paraId="20720995">
      <w:pPr>
        <w:spacing w:line="600" w:lineRule="exact"/>
        <w:ind w:firstLine="640" w:firstLineChars="200"/>
        <w:rPr>
          <w:rFonts w:ascii="仿宋" w:hAnsi="仿宋" w:eastAsia="仿宋"/>
          <w:color w:val="000000"/>
          <w:sz w:val="32"/>
          <w:szCs w:val="32"/>
        </w:rPr>
      </w:pPr>
    </w:p>
    <w:p w14:paraId="03B209D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410845</wp:posOffset>
            </wp:positionH>
            <wp:positionV relativeFrom="paragraph">
              <wp:posOffset>-2948305</wp:posOffset>
            </wp:positionV>
            <wp:extent cx="4032250" cy="3239135"/>
            <wp:effectExtent l="4445" t="4445" r="20955" b="13970"/>
            <wp:wrapSquare wrapText="bothSides"/>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88BA0E9">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0465D861">
      <w:pPr>
        <w:spacing w:line="600" w:lineRule="exact"/>
        <w:ind w:firstLine="640" w:firstLineChars="200"/>
        <w:rPr>
          <w:rFonts w:ascii="仿宋_GB2312" w:eastAsia="仿宋_GB2312"/>
          <w:color w:val="FF0000"/>
          <w:sz w:val="32"/>
          <w:szCs w:val="32"/>
        </w:rPr>
      </w:pPr>
    </w:p>
    <w:p w14:paraId="4D72FED8">
      <w:pPr>
        <w:pStyle w:val="23"/>
        <w:numPr>
          <w:ilvl w:val="0"/>
          <w:numId w:val="1"/>
        </w:numPr>
        <w:spacing w:line="600" w:lineRule="exact"/>
        <w:ind w:firstLineChars="0"/>
        <w:outlineLvl w:val="1"/>
        <w:rPr>
          <w:rStyle w:val="25"/>
          <w:rFonts w:ascii="黑体" w:hAnsi="黑体" w:eastAsia="黑体"/>
          <w:b w:val="0"/>
        </w:rPr>
      </w:pPr>
      <w:bookmarkStart w:id="37" w:name="_Toc15396605"/>
      <w:bookmarkStart w:id="38" w:name="_Toc4044"/>
      <w:bookmarkStart w:id="3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7"/>
      <w:bookmarkEnd w:id="38"/>
      <w:bookmarkEnd w:id="39"/>
    </w:p>
    <w:p w14:paraId="0D9A56D9">
      <w:pPr>
        <w:spacing w:line="600" w:lineRule="exact"/>
        <w:ind w:firstLine="640" w:firstLineChars="200"/>
        <w:outlineLvl w:val="1"/>
        <w:rPr>
          <w:rFonts w:ascii="仿宋" w:hAnsi="仿宋" w:eastAsia="仿宋"/>
          <w:color w:val="000000"/>
          <w:sz w:val="32"/>
          <w:szCs w:val="32"/>
        </w:rPr>
      </w:pPr>
      <w:bookmarkStart w:id="40" w:name="_Toc11891"/>
      <w:r>
        <w:rPr>
          <w:rFonts w:ascii="仿宋" w:hAnsi="仿宋" w:eastAsia="仿宋"/>
          <w:color w:val="000000"/>
          <w:sz w:val="32"/>
          <w:szCs w:val="32"/>
        </w:rPr>
        <w:t>201</w:t>
      </w:r>
      <w:r>
        <w:rPr>
          <w:rFonts w:hint="eastAsia" w:ascii="仿宋" w:hAnsi="仿宋" w:eastAsia="仿宋"/>
          <w:color w:val="000000"/>
          <w:sz w:val="32"/>
          <w:szCs w:val="32"/>
        </w:rPr>
        <w:t>9年本年支出合计67.32万元，其中：基本支出38.83万元，占57.68</w:t>
      </w:r>
      <w:r>
        <w:rPr>
          <w:rFonts w:ascii="仿宋" w:hAnsi="仿宋" w:eastAsia="仿宋"/>
          <w:color w:val="000000"/>
          <w:sz w:val="32"/>
          <w:szCs w:val="32"/>
        </w:rPr>
        <w:t>%</w:t>
      </w:r>
      <w:r>
        <w:rPr>
          <w:rFonts w:hint="eastAsia" w:ascii="仿宋" w:hAnsi="仿宋" w:eastAsia="仿宋"/>
          <w:color w:val="000000"/>
          <w:sz w:val="32"/>
          <w:szCs w:val="32"/>
        </w:rPr>
        <w:t>；项目支出28.49万元，占42.32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0"/>
    </w:p>
    <w:p w14:paraId="55C6A180">
      <w:pPr>
        <w:spacing w:line="600" w:lineRule="exact"/>
        <w:ind w:firstLine="640" w:firstLineChars="200"/>
        <w:rPr>
          <w:rFonts w:ascii="仿宋" w:hAnsi="仿宋" w:eastAsia="仿宋"/>
          <w:color w:val="000000"/>
          <w:sz w:val="32"/>
          <w:szCs w:val="32"/>
        </w:rPr>
      </w:pPr>
    </w:p>
    <w:p w14:paraId="088B07D2">
      <w:pPr>
        <w:spacing w:line="600" w:lineRule="exact"/>
        <w:ind w:firstLine="640" w:firstLineChars="200"/>
        <w:rPr>
          <w:rFonts w:ascii="仿宋" w:hAnsi="仿宋" w:eastAsia="仿宋"/>
          <w:color w:val="000000"/>
          <w:sz w:val="32"/>
          <w:szCs w:val="32"/>
        </w:rPr>
      </w:pPr>
    </w:p>
    <w:p w14:paraId="45C1580E">
      <w:pPr>
        <w:spacing w:line="600" w:lineRule="exact"/>
        <w:ind w:firstLine="640" w:firstLineChars="200"/>
        <w:rPr>
          <w:rFonts w:ascii="仿宋" w:hAnsi="仿宋" w:eastAsia="仿宋"/>
          <w:color w:val="000000"/>
          <w:sz w:val="32"/>
          <w:szCs w:val="32"/>
        </w:rPr>
      </w:pPr>
    </w:p>
    <w:p w14:paraId="7C6996E4">
      <w:pPr>
        <w:spacing w:line="600" w:lineRule="exact"/>
        <w:ind w:firstLine="640" w:firstLineChars="200"/>
        <w:rPr>
          <w:rFonts w:ascii="仿宋" w:hAnsi="仿宋" w:eastAsia="仿宋"/>
          <w:color w:val="000000"/>
          <w:sz w:val="32"/>
          <w:szCs w:val="32"/>
        </w:rPr>
      </w:pPr>
    </w:p>
    <w:p w14:paraId="00E68F5F">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401320</wp:posOffset>
            </wp:positionH>
            <wp:positionV relativeFrom="paragraph">
              <wp:posOffset>-33655</wp:posOffset>
            </wp:positionV>
            <wp:extent cx="3851910" cy="3362960"/>
            <wp:effectExtent l="4445" t="4445" r="10795" b="23495"/>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4D933FC">
      <w:pPr>
        <w:spacing w:line="600" w:lineRule="exact"/>
        <w:ind w:firstLine="640" w:firstLineChars="200"/>
        <w:rPr>
          <w:rFonts w:ascii="仿宋" w:hAnsi="仿宋" w:eastAsia="仿宋"/>
          <w:color w:val="000000"/>
          <w:sz w:val="32"/>
          <w:szCs w:val="32"/>
        </w:rPr>
      </w:pPr>
    </w:p>
    <w:p w14:paraId="196B00F3">
      <w:pPr>
        <w:spacing w:line="600" w:lineRule="exact"/>
        <w:ind w:firstLine="640" w:firstLineChars="200"/>
        <w:rPr>
          <w:rFonts w:ascii="仿宋" w:hAnsi="仿宋" w:eastAsia="仿宋"/>
          <w:color w:val="000000"/>
          <w:sz w:val="32"/>
          <w:szCs w:val="32"/>
        </w:rPr>
      </w:pPr>
    </w:p>
    <w:p w14:paraId="5D47E2F9">
      <w:pPr>
        <w:spacing w:line="600" w:lineRule="exact"/>
        <w:ind w:firstLine="640" w:firstLineChars="200"/>
        <w:rPr>
          <w:rFonts w:ascii="仿宋" w:hAnsi="仿宋" w:eastAsia="仿宋"/>
          <w:color w:val="000000"/>
          <w:sz w:val="32"/>
          <w:szCs w:val="32"/>
        </w:rPr>
      </w:pPr>
    </w:p>
    <w:p w14:paraId="39E5D535">
      <w:pPr>
        <w:spacing w:line="600" w:lineRule="exact"/>
        <w:ind w:firstLine="640" w:firstLineChars="200"/>
        <w:rPr>
          <w:rFonts w:ascii="仿宋" w:hAnsi="仿宋" w:eastAsia="仿宋"/>
          <w:color w:val="000000"/>
          <w:sz w:val="32"/>
          <w:szCs w:val="32"/>
        </w:rPr>
      </w:pPr>
    </w:p>
    <w:p w14:paraId="47E02FB1">
      <w:pPr>
        <w:spacing w:line="600" w:lineRule="exact"/>
        <w:ind w:firstLine="640" w:firstLineChars="200"/>
        <w:rPr>
          <w:rFonts w:ascii="仿宋" w:hAnsi="仿宋" w:eastAsia="仿宋"/>
          <w:color w:val="000000"/>
          <w:sz w:val="32"/>
          <w:szCs w:val="32"/>
        </w:rPr>
      </w:pPr>
    </w:p>
    <w:p w14:paraId="6B834036">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6D4A170A">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42F3F83F">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326DE56B">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122EBA5D">
      <w:pPr>
        <w:spacing w:line="600" w:lineRule="exact"/>
        <w:ind w:firstLine="640" w:firstLineChars="200"/>
        <w:rPr>
          <w:rFonts w:ascii="仿宋_GB2312" w:eastAsia="仿宋_GB2312"/>
          <w:color w:val="FF0000"/>
          <w:sz w:val="32"/>
          <w:szCs w:val="32"/>
        </w:rPr>
      </w:pPr>
    </w:p>
    <w:p w14:paraId="50CDA8E8">
      <w:pPr>
        <w:spacing w:line="600" w:lineRule="exact"/>
        <w:ind w:firstLine="640" w:firstLineChars="200"/>
        <w:outlineLvl w:val="1"/>
        <w:rPr>
          <w:rStyle w:val="25"/>
          <w:rFonts w:ascii="黑体" w:hAnsi="黑体" w:eastAsia="黑体"/>
          <w:b w:val="0"/>
        </w:rPr>
      </w:pPr>
      <w:bookmarkStart w:id="41" w:name="_Toc1547"/>
      <w:bookmarkStart w:id="42" w:name="_Toc15377208"/>
      <w:bookmarkStart w:id="43"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1"/>
      <w:bookmarkEnd w:id="42"/>
      <w:bookmarkEnd w:id="43"/>
    </w:p>
    <w:p w14:paraId="35624F70">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9年财政拨款收入总计117.32万元、支出总计67.32万元。与2018年相比，收入总计增加117.32万元，增长100</w:t>
      </w:r>
      <w:r>
        <w:rPr>
          <w:rFonts w:ascii="仿宋" w:hAnsi="仿宋" w:eastAsia="仿宋"/>
          <w:color w:val="000000"/>
          <w:sz w:val="32"/>
          <w:szCs w:val="32"/>
        </w:rPr>
        <w:t>%</w:t>
      </w:r>
      <w:r>
        <w:rPr>
          <w:rFonts w:hint="eastAsia" w:ascii="仿宋" w:hAnsi="仿宋" w:eastAsia="仿宋"/>
          <w:color w:val="000000"/>
          <w:sz w:val="32"/>
          <w:szCs w:val="32"/>
        </w:rPr>
        <w:t>。支出总计增加67.32万元，增长100</w:t>
      </w:r>
      <w:r>
        <w:rPr>
          <w:rFonts w:ascii="仿宋" w:hAnsi="仿宋" w:eastAsia="仿宋"/>
          <w:color w:val="000000"/>
          <w:sz w:val="32"/>
          <w:szCs w:val="32"/>
        </w:rPr>
        <w:t>%</w:t>
      </w:r>
      <w:r>
        <w:rPr>
          <w:rFonts w:hint="eastAsia" w:ascii="仿宋" w:hAnsi="仿宋" w:eastAsia="仿宋"/>
          <w:color w:val="000000"/>
          <w:sz w:val="32"/>
          <w:szCs w:val="32"/>
        </w:rPr>
        <w:t>。主要变动原因是本单位为新增单位，无上年度数据。</w:t>
      </w:r>
    </w:p>
    <w:p w14:paraId="69BC4301">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594995</wp:posOffset>
            </wp:positionH>
            <wp:positionV relativeFrom="paragraph">
              <wp:posOffset>132080</wp:posOffset>
            </wp:positionV>
            <wp:extent cx="3538220" cy="2535555"/>
            <wp:effectExtent l="4445" t="4445" r="19685" b="69850"/>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AA0E976">
      <w:pPr>
        <w:spacing w:line="600" w:lineRule="exact"/>
        <w:rPr>
          <w:rFonts w:ascii="仿宋" w:hAnsi="仿宋" w:eastAsia="仿宋"/>
          <w:color w:val="000000"/>
          <w:sz w:val="32"/>
          <w:szCs w:val="32"/>
        </w:rPr>
      </w:pPr>
    </w:p>
    <w:p w14:paraId="6412B45E">
      <w:pPr>
        <w:spacing w:line="600" w:lineRule="exact"/>
        <w:rPr>
          <w:rFonts w:ascii="仿宋" w:hAnsi="仿宋" w:eastAsia="仿宋"/>
          <w:color w:val="000000"/>
          <w:sz w:val="32"/>
          <w:szCs w:val="32"/>
        </w:rPr>
      </w:pPr>
    </w:p>
    <w:p w14:paraId="7957A56F">
      <w:pPr>
        <w:spacing w:line="600" w:lineRule="exact"/>
        <w:rPr>
          <w:rFonts w:ascii="仿宋" w:hAnsi="仿宋" w:eastAsia="仿宋"/>
          <w:color w:val="000000"/>
          <w:sz w:val="32"/>
          <w:szCs w:val="32"/>
        </w:rPr>
      </w:pPr>
    </w:p>
    <w:p w14:paraId="7FBCFA25">
      <w:pPr>
        <w:spacing w:line="600" w:lineRule="exact"/>
        <w:rPr>
          <w:rFonts w:ascii="仿宋" w:hAnsi="仿宋" w:eastAsia="仿宋"/>
          <w:color w:val="000000"/>
          <w:sz w:val="32"/>
          <w:szCs w:val="32"/>
        </w:rPr>
      </w:pPr>
    </w:p>
    <w:p w14:paraId="4C415092">
      <w:pPr>
        <w:spacing w:line="600" w:lineRule="exact"/>
        <w:rPr>
          <w:rFonts w:ascii="仿宋" w:hAnsi="仿宋" w:eastAsia="仿宋"/>
          <w:color w:val="000000"/>
          <w:sz w:val="32"/>
          <w:szCs w:val="32"/>
        </w:rPr>
      </w:pPr>
    </w:p>
    <w:p w14:paraId="403AA3DE">
      <w:pPr>
        <w:spacing w:line="600" w:lineRule="exact"/>
        <w:rPr>
          <w:rFonts w:ascii="仿宋" w:hAnsi="仿宋" w:eastAsia="仿宋"/>
          <w:color w:val="000000" w:themeColor="text1"/>
          <w:sz w:val="32"/>
          <w:szCs w:val="32"/>
          <w14:textFill>
            <w14:solidFill>
              <w14:schemeClr w14:val="tx1"/>
            </w14:solidFill>
          </w14:textFill>
        </w:rPr>
      </w:pPr>
    </w:p>
    <w:p w14:paraId="2E186F08">
      <w:pPr>
        <w:spacing w:line="600" w:lineRule="exact"/>
        <w:rPr>
          <w:rFonts w:ascii="仿宋" w:hAnsi="仿宋" w:eastAsia="仿宋"/>
          <w:color w:val="000000" w:themeColor="text1"/>
          <w:sz w:val="32"/>
          <w:szCs w:val="32"/>
          <w14:textFill>
            <w14:solidFill>
              <w14:schemeClr w14:val="tx1"/>
            </w14:solidFill>
          </w14:textFill>
        </w:rPr>
      </w:pPr>
    </w:p>
    <w:p w14:paraId="3189275C">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636E9F40">
      <w:pPr>
        <w:spacing w:line="600" w:lineRule="exact"/>
        <w:ind w:firstLine="640"/>
        <w:rPr>
          <w:rFonts w:ascii="仿宋" w:hAnsi="仿宋" w:eastAsia="仿宋"/>
          <w:b/>
          <w:color w:val="00B050"/>
          <w:sz w:val="32"/>
          <w:szCs w:val="32"/>
        </w:rPr>
      </w:pPr>
    </w:p>
    <w:p w14:paraId="078DE293">
      <w:pPr>
        <w:spacing w:line="600" w:lineRule="exact"/>
        <w:ind w:firstLine="640" w:firstLineChars="200"/>
        <w:outlineLvl w:val="1"/>
        <w:rPr>
          <w:rStyle w:val="25"/>
          <w:rFonts w:ascii="黑体" w:hAnsi="黑体" w:eastAsia="黑体"/>
          <w:b w:val="0"/>
        </w:rPr>
      </w:pPr>
      <w:bookmarkStart w:id="44" w:name="_Toc15396607"/>
      <w:bookmarkStart w:id="45" w:name="_Toc8008"/>
      <w:bookmarkStart w:id="46"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4"/>
      <w:bookmarkEnd w:id="45"/>
      <w:bookmarkEnd w:id="46"/>
    </w:p>
    <w:p w14:paraId="76B73C22">
      <w:pPr>
        <w:spacing w:line="600" w:lineRule="exact"/>
        <w:ind w:firstLine="643" w:firstLineChars="200"/>
        <w:outlineLvl w:val="2"/>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14:paraId="08D94BC6">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9年一般公共预算财政拨款支出67.32万元，占本年支出合计的53.10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8年相比，一般公共预算财政拨款增加67.32万元，增长100</w:t>
      </w:r>
      <w:r>
        <w:rPr>
          <w:rFonts w:ascii="仿宋" w:hAnsi="仿宋" w:eastAsia="仿宋"/>
          <w:color w:val="000000"/>
          <w:sz w:val="32"/>
          <w:szCs w:val="32"/>
        </w:rPr>
        <w:t>%</w:t>
      </w:r>
      <w:r>
        <w:rPr>
          <w:rFonts w:hint="eastAsia" w:ascii="仿宋" w:hAnsi="仿宋" w:eastAsia="仿宋"/>
          <w:color w:val="000000"/>
          <w:sz w:val="32"/>
          <w:szCs w:val="32"/>
        </w:rPr>
        <w:t>。主要变动原因是本单位为新增单位，无上年度数据。</w:t>
      </w:r>
    </w:p>
    <w:p w14:paraId="5C8EA2D4">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499745</wp:posOffset>
            </wp:positionH>
            <wp:positionV relativeFrom="paragraph">
              <wp:posOffset>90170</wp:posOffset>
            </wp:positionV>
            <wp:extent cx="3538220" cy="2535555"/>
            <wp:effectExtent l="4445" t="4445" r="19685" b="6985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12CC477">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699CD0A8">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6DC4F80B">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04620A32">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5DD72911">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5D2EAA17">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4586B3F4">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523EC1E3">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64DA77B4">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7FBEEFB5">
      <w:pPr>
        <w:spacing w:line="600" w:lineRule="exact"/>
        <w:ind w:firstLine="643" w:firstLineChars="200"/>
        <w:outlineLvl w:val="2"/>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14:paraId="7359E2BF">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67.32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一般公共服务支出（201）</w:t>
      </w:r>
      <w:r>
        <w:rPr>
          <w:rFonts w:hint="eastAsia" w:ascii="仿宋" w:hAnsi="仿宋" w:eastAsia="仿宋"/>
          <w:color w:val="000000" w:themeColor="text1"/>
          <w:sz w:val="32"/>
          <w:szCs w:val="32"/>
          <w14:textFill>
            <w14:solidFill>
              <w14:schemeClr w14:val="tx1"/>
            </w14:solidFill>
          </w14:textFill>
        </w:rPr>
        <w:t>支出10.37万元，占15.40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灾害防治及应急管理支出（224）</w:t>
      </w:r>
      <w:r>
        <w:rPr>
          <w:rFonts w:hint="eastAsia" w:ascii="仿宋" w:hAnsi="仿宋" w:eastAsia="仿宋"/>
          <w:color w:val="000000" w:themeColor="text1"/>
          <w:sz w:val="32"/>
          <w:szCs w:val="32"/>
          <w14:textFill>
            <w14:solidFill>
              <w14:schemeClr w14:val="tx1"/>
            </w14:solidFill>
          </w14:textFill>
        </w:rPr>
        <w:t>56.95万元，占84.60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05AAE1D6">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398145</wp:posOffset>
            </wp:positionH>
            <wp:positionV relativeFrom="paragraph">
              <wp:posOffset>207645</wp:posOffset>
            </wp:positionV>
            <wp:extent cx="3509010" cy="2943225"/>
            <wp:effectExtent l="4445" t="4445" r="10795" b="50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46E7F63">
      <w:pPr>
        <w:spacing w:line="600" w:lineRule="exact"/>
        <w:ind w:firstLine="640" w:firstLineChars="200"/>
        <w:rPr>
          <w:rFonts w:ascii="仿宋" w:hAnsi="仿宋" w:eastAsia="仿宋"/>
          <w:color w:val="000000"/>
          <w:sz w:val="32"/>
          <w:szCs w:val="32"/>
        </w:rPr>
      </w:pPr>
    </w:p>
    <w:p w14:paraId="562DE1B5">
      <w:pPr>
        <w:spacing w:line="600" w:lineRule="exact"/>
        <w:ind w:firstLine="640" w:firstLineChars="200"/>
        <w:rPr>
          <w:rFonts w:ascii="仿宋" w:hAnsi="仿宋" w:eastAsia="仿宋"/>
          <w:color w:val="000000"/>
          <w:sz w:val="32"/>
          <w:szCs w:val="32"/>
        </w:rPr>
      </w:pPr>
    </w:p>
    <w:p w14:paraId="34D759FB">
      <w:pPr>
        <w:spacing w:line="600" w:lineRule="exact"/>
        <w:ind w:firstLine="640" w:firstLineChars="200"/>
        <w:rPr>
          <w:rFonts w:ascii="仿宋" w:hAnsi="仿宋" w:eastAsia="仿宋"/>
          <w:color w:val="000000"/>
          <w:sz w:val="32"/>
          <w:szCs w:val="32"/>
        </w:rPr>
      </w:pPr>
    </w:p>
    <w:p w14:paraId="251C7E2D">
      <w:pPr>
        <w:spacing w:line="600" w:lineRule="exact"/>
        <w:ind w:firstLine="640" w:firstLineChars="200"/>
        <w:rPr>
          <w:rFonts w:ascii="仿宋" w:hAnsi="仿宋" w:eastAsia="仿宋"/>
          <w:color w:val="000000"/>
          <w:sz w:val="32"/>
          <w:szCs w:val="32"/>
        </w:rPr>
      </w:pPr>
    </w:p>
    <w:p w14:paraId="2B3B6EC3">
      <w:pPr>
        <w:spacing w:line="600" w:lineRule="exact"/>
        <w:ind w:firstLine="640" w:firstLineChars="200"/>
        <w:rPr>
          <w:rFonts w:ascii="仿宋" w:hAnsi="仿宋" w:eastAsia="仿宋"/>
          <w:color w:val="000000"/>
          <w:sz w:val="32"/>
          <w:szCs w:val="32"/>
        </w:rPr>
      </w:pPr>
    </w:p>
    <w:p w14:paraId="3FE988A1">
      <w:pPr>
        <w:spacing w:line="600" w:lineRule="exact"/>
        <w:ind w:firstLine="640" w:firstLineChars="200"/>
        <w:rPr>
          <w:rFonts w:ascii="仿宋" w:hAnsi="仿宋" w:eastAsia="仿宋"/>
          <w:color w:val="000000"/>
          <w:sz w:val="32"/>
          <w:szCs w:val="32"/>
        </w:rPr>
      </w:pPr>
    </w:p>
    <w:p w14:paraId="3C31DC05">
      <w:pPr>
        <w:spacing w:line="600" w:lineRule="exact"/>
        <w:ind w:firstLine="640" w:firstLineChars="200"/>
        <w:rPr>
          <w:rFonts w:ascii="仿宋" w:hAnsi="仿宋" w:eastAsia="仿宋"/>
          <w:color w:val="000000"/>
          <w:sz w:val="32"/>
          <w:szCs w:val="32"/>
        </w:rPr>
      </w:pPr>
    </w:p>
    <w:p w14:paraId="5B419E30">
      <w:pPr>
        <w:spacing w:line="600" w:lineRule="exact"/>
        <w:ind w:firstLine="640" w:firstLineChars="200"/>
        <w:rPr>
          <w:rFonts w:ascii="仿宋" w:hAnsi="仿宋" w:eastAsia="仿宋"/>
          <w:color w:val="000000"/>
          <w:sz w:val="32"/>
          <w:szCs w:val="32"/>
        </w:rPr>
      </w:pPr>
    </w:p>
    <w:p w14:paraId="24677C8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47A4D474">
      <w:pPr>
        <w:spacing w:line="600" w:lineRule="exact"/>
        <w:ind w:firstLine="640" w:firstLineChars="200"/>
        <w:rPr>
          <w:rFonts w:ascii="仿宋" w:hAnsi="仿宋" w:eastAsia="仿宋"/>
          <w:color w:val="000000"/>
          <w:sz w:val="32"/>
          <w:szCs w:val="32"/>
        </w:rPr>
      </w:pPr>
    </w:p>
    <w:p w14:paraId="15907EBA">
      <w:pPr>
        <w:spacing w:line="600" w:lineRule="exact"/>
        <w:ind w:firstLine="643" w:firstLineChars="200"/>
        <w:outlineLvl w:val="2"/>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14:paraId="0C3076F6">
      <w:pPr>
        <w:spacing w:line="600" w:lineRule="exact"/>
        <w:ind w:firstLine="643" w:firstLineChars="200"/>
        <w:outlineLvl w:val="2"/>
        <w:rPr>
          <w:rFonts w:ascii="仿宋" w:hAnsi="仿宋" w:eastAsia="仿宋"/>
          <w:color w:val="FF0000"/>
          <w:sz w:val="32"/>
          <w:szCs w:val="32"/>
        </w:rPr>
      </w:pPr>
      <w:bookmarkStart w:id="50" w:name="_Toc15377213"/>
      <w:bookmarkStart w:id="51" w:name="_Toc15378460"/>
      <w:bookmarkStart w:id="52" w:name="_Toc15377444"/>
      <w:r>
        <w:rPr>
          <w:rFonts w:hint="eastAsia" w:ascii="仿宋" w:hAnsi="仿宋" w:eastAsia="仿宋"/>
          <w:b/>
          <w:color w:val="000000" w:themeColor="text1"/>
          <w:sz w:val="32"/>
          <w:szCs w:val="32"/>
          <w14:textFill>
            <w14:solidFill>
              <w14:schemeClr w14:val="tx1"/>
            </w14:solidFill>
          </w14:textFill>
        </w:rPr>
        <w:t>2019年般公共预算支出决算数为67.32</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50"/>
      <w:bookmarkEnd w:id="51"/>
      <w:bookmarkEnd w:id="52"/>
    </w:p>
    <w:p w14:paraId="08FC9C46">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Fonts w:hint="eastAsia" w:ascii="仿宋" w:hAnsi="仿宋" w:eastAsia="仿宋"/>
          <w:b/>
          <w:color w:val="000000" w:themeColor="text1"/>
          <w:sz w:val="32"/>
          <w:szCs w:val="32"/>
          <w14:textFill>
            <w14:solidFill>
              <w14:schemeClr w14:val="tx1"/>
            </w14:solidFill>
          </w14:textFill>
        </w:rPr>
        <w:t>一般公共服务支出（201）政府办公厅（室）及相关机构事务（03）行政运行（01）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10.37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69DD889">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14:textFill>
            <w14:solidFill>
              <w14:schemeClr w14:val="tx1"/>
            </w14:solidFill>
          </w14:textFill>
        </w:rPr>
        <w:t>灾害防治及应急管理支出（224）应急管理事务（01）行政运行（01）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26.51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1620615">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color w:val="000000"/>
          <w:sz w:val="32"/>
          <w:szCs w:val="32"/>
        </w:rPr>
        <w:t>3.</w:t>
      </w:r>
      <w:r>
        <w:rPr>
          <w:rFonts w:hint="eastAsia" w:ascii="仿宋" w:hAnsi="仿宋" w:eastAsia="仿宋"/>
          <w:b/>
          <w:color w:val="000000" w:themeColor="text1"/>
          <w:sz w:val="32"/>
          <w:szCs w:val="32"/>
          <w14:textFill>
            <w14:solidFill>
              <w14:schemeClr w14:val="tx1"/>
            </w14:solidFill>
          </w14:textFill>
        </w:rPr>
        <w:t>灾害防治及应急管理支出（224）应急管理事务（01）安全监管（06）：</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1.98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FE5F8C2">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表，罗列全部功能分类科目至项级。上述“预算”口径为调整预算数。增减变动原因为决算数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14:paraId="12BC9F23">
      <w:pPr>
        <w:spacing w:line="600" w:lineRule="exact"/>
        <w:ind w:firstLine="640"/>
        <w:rPr>
          <w:rFonts w:ascii="仿宋" w:hAnsi="仿宋" w:eastAsia="仿宋"/>
          <w:b/>
          <w:color w:val="000000"/>
          <w:sz w:val="32"/>
          <w:szCs w:val="32"/>
        </w:rPr>
      </w:pPr>
    </w:p>
    <w:p w14:paraId="5D008280">
      <w:pPr>
        <w:tabs>
          <w:tab w:val="right" w:pos="8306"/>
        </w:tabs>
        <w:spacing w:line="600" w:lineRule="exact"/>
        <w:ind w:firstLine="640"/>
        <w:outlineLvl w:val="1"/>
        <w:rPr>
          <w:rStyle w:val="25"/>
        </w:rPr>
      </w:pPr>
      <w:bookmarkStart w:id="53" w:name="_Toc886"/>
      <w:bookmarkStart w:id="54" w:name="_Toc15396608"/>
      <w:bookmarkStart w:id="5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53"/>
      <w:bookmarkEnd w:id="54"/>
      <w:bookmarkEnd w:id="55"/>
      <w:r>
        <w:rPr>
          <w:rStyle w:val="25"/>
          <w:rFonts w:ascii="黑体" w:hAnsi="黑体" w:eastAsia="黑体"/>
          <w:b w:val="0"/>
        </w:rPr>
        <w:tab/>
      </w:r>
    </w:p>
    <w:p w14:paraId="5074B204">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themeColor="text1"/>
          <w:sz w:val="32"/>
          <w:szCs w:val="32"/>
          <w14:textFill>
            <w14:solidFill>
              <w14:schemeClr w14:val="tx1"/>
            </w14:solidFill>
          </w14:textFill>
        </w:rPr>
        <w:t>38.83</w:t>
      </w:r>
      <w:r>
        <w:rPr>
          <w:rFonts w:hint="eastAsia" w:ascii="仿宋" w:hAnsi="仿宋" w:eastAsia="仿宋"/>
          <w:color w:val="000000"/>
          <w:sz w:val="32"/>
          <w:szCs w:val="32"/>
        </w:rPr>
        <w:t>万元，其中：</w:t>
      </w:r>
    </w:p>
    <w:p w14:paraId="5F7BDB71">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25.04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13.79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8AF10CE">
      <w:pPr>
        <w:spacing w:line="600" w:lineRule="exact"/>
        <w:ind w:firstLine="640"/>
        <w:outlineLvl w:val="1"/>
        <w:rPr>
          <w:rStyle w:val="25"/>
          <w:rFonts w:ascii="黑体" w:hAnsi="黑体" w:eastAsia="黑体"/>
          <w:b w:val="0"/>
        </w:rPr>
      </w:pPr>
      <w:bookmarkStart w:id="56" w:name="_Toc15377215"/>
      <w:bookmarkStart w:id="57" w:name="_Toc22376"/>
      <w:bookmarkStart w:id="58"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6"/>
      <w:bookmarkEnd w:id="57"/>
      <w:bookmarkEnd w:id="58"/>
    </w:p>
    <w:p w14:paraId="6FCB4FD8">
      <w:pPr>
        <w:spacing w:line="600" w:lineRule="exact"/>
        <w:ind w:firstLine="640"/>
        <w:outlineLvl w:val="2"/>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14:paraId="65AEEB4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9年“三公”经费财政拨款支出决算为0万元，完成预算100</w:t>
      </w:r>
      <w:r>
        <w:rPr>
          <w:rFonts w:ascii="仿宋" w:hAnsi="仿宋" w:eastAsia="仿宋"/>
          <w:color w:val="000000"/>
          <w:sz w:val="32"/>
          <w:szCs w:val="32"/>
        </w:rPr>
        <w:t>%</w:t>
      </w:r>
      <w:r>
        <w:rPr>
          <w:rFonts w:hint="eastAsia" w:ascii="仿宋" w:hAnsi="仿宋" w:eastAsia="仿宋"/>
          <w:color w:val="000000"/>
          <w:sz w:val="32"/>
          <w:szCs w:val="32"/>
        </w:rPr>
        <w:t>。</w:t>
      </w:r>
    </w:p>
    <w:p w14:paraId="3E313A7D">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14:paraId="0370A575">
      <w:pPr>
        <w:spacing w:line="600" w:lineRule="exact"/>
        <w:ind w:firstLine="640"/>
        <w:outlineLvl w:val="2"/>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14:paraId="54859720">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4E37C232">
      <w:pPr>
        <w:spacing w:line="600" w:lineRule="exact"/>
        <w:ind w:firstLine="640"/>
        <w:rPr>
          <w:rFonts w:ascii="仿宋" w:hAnsi="仿宋" w:eastAsia="仿宋"/>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5408" behindDoc="0" locked="0" layoutInCell="1" allowOverlap="1">
            <wp:simplePos x="0" y="0"/>
            <wp:positionH relativeFrom="column">
              <wp:posOffset>328295</wp:posOffset>
            </wp:positionH>
            <wp:positionV relativeFrom="paragraph">
              <wp:posOffset>194945</wp:posOffset>
            </wp:positionV>
            <wp:extent cx="3851910" cy="3362960"/>
            <wp:effectExtent l="4445" t="4445" r="10795"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F3A1A93">
      <w:pPr>
        <w:spacing w:line="600" w:lineRule="exact"/>
        <w:ind w:firstLine="640"/>
        <w:rPr>
          <w:rFonts w:ascii="仿宋" w:hAnsi="仿宋" w:eastAsia="仿宋"/>
          <w:color w:val="000000"/>
          <w:sz w:val="32"/>
          <w:szCs w:val="32"/>
        </w:rPr>
      </w:pPr>
    </w:p>
    <w:p w14:paraId="27641A4A">
      <w:pPr>
        <w:spacing w:line="600" w:lineRule="exact"/>
        <w:ind w:firstLine="640"/>
        <w:rPr>
          <w:rFonts w:ascii="仿宋" w:hAnsi="仿宋" w:eastAsia="仿宋"/>
          <w:color w:val="000000"/>
          <w:sz w:val="32"/>
          <w:szCs w:val="32"/>
        </w:rPr>
      </w:pPr>
    </w:p>
    <w:p w14:paraId="57B3271A">
      <w:pPr>
        <w:spacing w:line="600" w:lineRule="exact"/>
        <w:ind w:firstLine="640"/>
        <w:rPr>
          <w:rFonts w:ascii="仿宋" w:hAnsi="仿宋" w:eastAsia="仿宋"/>
          <w:color w:val="000000"/>
          <w:sz w:val="32"/>
          <w:szCs w:val="32"/>
        </w:rPr>
      </w:pPr>
    </w:p>
    <w:p w14:paraId="63FD7053">
      <w:pPr>
        <w:spacing w:line="600" w:lineRule="exact"/>
        <w:ind w:firstLine="640"/>
        <w:rPr>
          <w:rFonts w:ascii="仿宋" w:hAnsi="仿宋" w:eastAsia="仿宋"/>
          <w:color w:val="000000"/>
          <w:sz w:val="32"/>
          <w:szCs w:val="32"/>
        </w:rPr>
      </w:pPr>
    </w:p>
    <w:p w14:paraId="4879238C">
      <w:pPr>
        <w:spacing w:line="600" w:lineRule="exact"/>
        <w:ind w:firstLine="640"/>
        <w:rPr>
          <w:rFonts w:ascii="仿宋" w:hAnsi="仿宋" w:eastAsia="仿宋"/>
          <w:color w:val="000000"/>
          <w:sz w:val="32"/>
          <w:szCs w:val="32"/>
        </w:rPr>
      </w:pPr>
    </w:p>
    <w:p w14:paraId="32ABE28A">
      <w:pPr>
        <w:spacing w:line="600" w:lineRule="exact"/>
        <w:ind w:firstLine="640"/>
        <w:rPr>
          <w:rFonts w:ascii="仿宋" w:hAnsi="仿宋" w:eastAsia="仿宋"/>
          <w:color w:val="000000"/>
          <w:sz w:val="32"/>
          <w:szCs w:val="32"/>
        </w:rPr>
      </w:pPr>
    </w:p>
    <w:p w14:paraId="53092860">
      <w:pPr>
        <w:spacing w:line="600" w:lineRule="exact"/>
        <w:ind w:firstLine="640"/>
        <w:rPr>
          <w:rFonts w:ascii="仿宋" w:hAnsi="仿宋" w:eastAsia="仿宋"/>
          <w:color w:val="000000"/>
          <w:sz w:val="32"/>
          <w:szCs w:val="32"/>
        </w:rPr>
      </w:pPr>
    </w:p>
    <w:p w14:paraId="77ED4880">
      <w:pPr>
        <w:spacing w:line="600" w:lineRule="exact"/>
        <w:ind w:firstLine="640"/>
        <w:rPr>
          <w:rFonts w:ascii="仿宋" w:hAnsi="仿宋" w:eastAsia="仿宋"/>
          <w:color w:val="000000"/>
          <w:sz w:val="32"/>
          <w:szCs w:val="32"/>
        </w:rPr>
      </w:pPr>
    </w:p>
    <w:p w14:paraId="78A34430">
      <w:pPr>
        <w:spacing w:line="600" w:lineRule="exact"/>
        <w:ind w:firstLine="640"/>
        <w:rPr>
          <w:rFonts w:ascii="仿宋" w:hAnsi="仿宋" w:eastAsia="仿宋"/>
          <w:color w:val="000000"/>
          <w:sz w:val="32"/>
          <w:szCs w:val="32"/>
        </w:rPr>
      </w:pPr>
    </w:p>
    <w:p w14:paraId="502C62DF">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4386070D">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0ED8A73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0E359ADB">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1FF8649D">
      <w:pPr>
        <w:spacing w:line="600" w:lineRule="exact"/>
        <w:ind w:firstLine="640"/>
        <w:rPr>
          <w:rFonts w:ascii="黑体" w:eastAsia="黑体"/>
          <w:color w:val="000000"/>
          <w:sz w:val="32"/>
          <w:szCs w:val="32"/>
        </w:rPr>
      </w:pPr>
      <w:bookmarkStart w:id="61" w:name="_Toc15396610"/>
      <w:bookmarkStart w:id="62" w:name="_Toc15377218"/>
    </w:p>
    <w:p w14:paraId="79BFF114">
      <w:pPr>
        <w:spacing w:line="600" w:lineRule="exact"/>
        <w:ind w:firstLine="640"/>
        <w:outlineLvl w:val="1"/>
        <w:rPr>
          <w:rStyle w:val="25"/>
          <w:rFonts w:ascii="黑体" w:hAnsi="黑体" w:eastAsia="黑体"/>
        </w:rPr>
      </w:pPr>
      <w:bookmarkStart w:id="63" w:name="_Toc27019"/>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1"/>
      <w:bookmarkEnd w:id="62"/>
      <w:bookmarkEnd w:id="63"/>
    </w:p>
    <w:p w14:paraId="7556EC60">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14:paraId="07CAAD16">
      <w:pPr>
        <w:spacing w:line="600" w:lineRule="exact"/>
        <w:ind w:firstLine="640"/>
        <w:rPr>
          <w:rFonts w:ascii="仿宋_GB2312" w:eastAsia="仿宋_GB2312"/>
          <w:color w:val="000000"/>
          <w:sz w:val="32"/>
          <w:szCs w:val="32"/>
        </w:rPr>
      </w:pPr>
    </w:p>
    <w:p w14:paraId="4901F5B7">
      <w:pPr>
        <w:numPr>
          <w:ilvl w:val="0"/>
          <w:numId w:val="2"/>
        </w:numPr>
        <w:spacing w:line="600" w:lineRule="exact"/>
        <w:ind w:firstLine="640"/>
        <w:outlineLvl w:val="1"/>
        <w:rPr>
          <w:rStyle w:val="25"/>
          <w:rFonts w:ascii="黑体" w:hAnsi="黑体" w:eastAsia="黑体"/>
          <w:b w:val="0"/>
        </w:rPr>
      </w:pPr>
      <w:bookmarkStart w:id="64" w:name="_Toc15377219"/>
      <w:bookmarkStart w:id="65" w:name="_Toc6889"/>
      <w:bookmarkStart w:id="66" w:name="_Toc15396611"/>
      <w:r>
        <w:rPr>
          <w:rStyle w:val="25"/>
          <w:rFonts w:hint="eastAsia" w:ascii="黑体" w:hAnsi="黑体" w:eastAsia="黑体"/>
          <w:b w:val="0"/>
        </w:rPr>
        <w:t>国有资本经营预算支出决算情况说明</w:t>
      </w:r>
      <w:bookmarkEnd w:id="64"/>
      <w:bookmarkEnd w:id="65"/>
      <w:bookmarkEnd w:id="66"/>
    </w:p>
    <w:p w14:paraId="04F9F9C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7380930E">
      <w:pPr>
        <w:spacing w:line="580" w:lineRule="exact"/>
        <w:jc w:val="center"/>
        <w:rPr>
          <w:rFonts w:ascii="方正小标宋简体" w:hAnsi="方正小标宋简体" w:eastAsia="方正小标宋简体" w:cs="方正小标宋简体"/>
          <w:sz w:val="44"/>
          <w:szCs w:val="44"/>
        </w:rPr>
      </w:pPr>
    </w:p>
    <w:p w14:paraId="01E015AF">
      <w:pPr>
        <w:spacing w:line="600" w:lineRule="exact"/>
        <w:ind w:firstLine="800" w:firstLineChars="250"/>
        <w:outlineLvl w:val="1"/>
        <w:rPr>
          <w:rStyle w:val="25"/>
          <w:rFonts w:ascii="黑体" w:hAnsi="黑体" w:eastAsia="黑体"/>
        </w:rPr>
      </w:pPr>
      <w:bookmarkStart w:id="67" w:name="_Toc15377221"/>
      <w:bookmarkStart w:id="68" w:name="_Toc15396612"/>
      <w:bookmarkStart w:id="69" w:name="_Toc2315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67"/>
      <w:bookmarkEnd w:id="68"/>
      <w:bookmarkEnd w:id="69"/>
    </w:p>
    <w:p w14:paraId="69953DC4">
      <w:pPr>
        <w:spacing w:line="600" w:lineRule="exact"/>
        <w:ind w:firstLine="643" w:firstLineChars="200"/>
        <w:outlineLvl w:val="2"/>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14:paraId="2773AAD0">
      <w:pPr>
        <w:spacing w:line="600" w:lineRule="exact"/>
        <w:ind w:firstLine="640" w:firstLineChars="200"/>
        <w:rPr>
          <w:rFonts w:ascii="仿宋_GB2312" w:eastAsia="仿宋"/>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四川省乐山市应急管理局高新区分局</w:t>
      </w:r>
      <w:r>
        <w:rPr>
          <w:rFonts w:hint="eastAsia" w:ascii="仿宋_GB2312" w:eastAsia="仿宋_GB2312"/>
          <w:color w:val="000000"/>
          <w:sz w:val="32"/>
          <w:szCs w:val="32"/>
        </w:rPr>
        <w:t>机关运行经费支出13.79万元，比</w:t>
      </w:r>
      <w:r>
        <w:rPr>
          <w:rFonts w:ascii="仿宋_GB2312" w:eastAsia="仿宋_GB2312"/>
          <w:color w:val="000000"/>
          <w:sz w:val="32"/>
          <w:szCs w:val="32"/>
        </w:rPr>
        <w:t>201</w:t>
      </w:r>
      <w:r>
        <w:rPr>
          <w:rFonts w:hint="eastAsia" w:ascii="仿宋_GB2312" w:eastAsia="仿宋_GB2312"/>
          <w:color w:val="000000"/>
          <w:sz w:val="32"/>
          <w:szCs w:val="32"/>
        </w:rPr>
        <w:t>8年增加13.79万元，增长100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 w:hAnsi="仿宋" w:eastAsia="仿宋"/>
          <w:color w:val="000000"/>
          <w:sz w:val="32"/>
          <w:szCs w:val="32"/>
        </w:rPr>
        <w:t>本单位为新增单位，无上年度数据。</w:t>
      </w:r>
    </w:p>
    <w:p w14:paraId="5635AD26">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26DC537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5F0C965F">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四川省乐山市应急管理局高新区分局</w:t>
      </w:r>
      <w:r>
        <w:rPr>
          <w:rFonts w:hint="eastAsia" w:ascii="仿宋_GB2312" w:eastAsia="仿宋_GB2312"/>
          <w:color w:val="000000"/>
          <w:sz w:val="32"/>
          <w:szCs w:val="32"/>
        </w:rPr>
        <w:t>政府采购支出总额0万元，其中：政府采购货物支出0万元、政府采购工程支出0万元、政府采购服务支出0万元。</w:t>
      </w:r>
    </w:p>
    <w:p w14:paraId="328E78D6">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2CFDDB7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16E0FDB5">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 w:hAnsi="仿宋" w:eastAsia="仿宋"/>
          <w:sz w:val="32"/>
          <w:szCs w:val="32"/>
        </w:rPr>
        <w:t>四川省乐山市应急管理局高新区分局</w:t>
      </w:r>
      <w:r>
        <w:rPr>
          <w:rFonts w:hint="eastAsia" w:ascii="仿宋_GB2312" w:eastAsia="仿宋_GB2312"/>
          <w:color w:val="000000"/>
          <w:sz w:val="32"/>
          <w:szCs w:val="32"/>
        </w:rPr>
        <w:t>共有车辆0辆，其中：主要领导干部用车0辆、机要通信用车0辆、应急保障用车0辆、其他用车0辆，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14:paraId="599227A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078C9B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3个项目开展了预算事前绩效评估，对3个项目编制了绩效目标，预算执行过程中，选取3个项目开展绩效监控，年终执行完毕后，对3个项目开展了绩效目标完成情况自评。</w:t>
      </w:r>
    </w:p>
    <w:p w14:paraId="6E0A06E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0A823BE0">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本部门在2019年度部门决算中反映“执法预警及应急救援工作经费”，“目标考核奖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，“绩效奖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3个项目绩效目标实际完成情况。</w:t>
      </w:r>
    </w:p>
    <w:p w14:paraId="69C76F7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（1）执法预警及应急救援工作经费项目绩效目标完成情况综述。项目全年预算数1.98万元，执行数为1.98万元，完成预算的100%。通过项目实施，构筑完善网格化服务平台。</w:t>
      </w:r>
    </w:p>
    <w:p w14:paraId="50CDED86">
      <w:pPr>
        <w:spacing w:line="58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（2）目标考核奖项目绩效目标完成情况综述。项目全年预算数23.69万元，执行数为23.69万元，完成预算的100%。通过项目实施，完成对应急管理事务目标考核工作。</w:t>
      </w:r>
    </w:p>
    <w:p w14:paraId="5ADEE6F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（3）绩效奖项目绩效目标完成情况综述。项目全年预算数2.82万元，执行数为2.82万元，完成预算的100%。通过项目实施，完成对应急管理事务绩效考核工作。</w:t>
      </w:r>
    </w:p>
    <w:p w14:paraId="4987E9D1">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5A445A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3FA45022">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440865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88F0C">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37667">
            <w:pPr>
              <w:widowControl/>
              <w:jc w:val="center"/>
              <w:textAlignment w:val="center"/>
              <w:rPr>
                <w:rFonts w:ascii="宋体" w:hAnsi="宋体" w:cs="宋体"/>
                <w:color w:val="000000"/>
                <w:sz w:val="24"/>
              </w:rPr>
            </w:pPr>
            <w:r>
              <w:rPr>
                <w:rFonts w:hint="eastAsia" w:ascii="宋体" w:hAnsi="宋体" w:cs="宋体"/>
                <w:color w:val="000000"/>
                <w:sz w:val="24"/>
              </w:rPr>
              <w:t>执法预警及应急救援工作经费</w:t>
            </w:r>
          </w:p>
        </w:tc>
      </w:tr>
      <w:tr w14:paraId="0A9D58C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0B89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54A8C">
            <w:pPr>
              <w:widowControl/>
              <w:jc w:val="center"/>
              <w:textAlignment w:val="center"/>
              <w:rPr>
                <w:rFonts w:ascii="宋体" w:hAnsi="宋体" w:cs="宋体"/>
                <w:color w:val="000000"/>
                <w:sz w:val="24"/>
              </w:rPr>
            </w:pPr>
            <w:r>
              <w:rPr>
                <w:rFonts w:hint="eastAsia" w:ascii="宋体" w:hAnsi="宋体" w:cs="宋体"/>
                <w:color w:val="000000"/>
                <w:sz w:val="24"/>
              </w:rPr>
              <w:t>乐山市应急管理局高新区分局</w:t>
            </w:r>
          </w:p>
        </w:tc>
      </w:tr>
      <w:tr w14:paraId="14BAB35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5206D">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A7D8A">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B9B7F">
            <w:pPr>
              <w:widowControl/>
              <w:jc w:val="center"/>
              <w:textAlignment w:val="center"/>
              <w:rPr>
                <w:rFonts w:ascii="宋体" w:hAnsi="宋体" w:cs="宋体"/>
                <w:color w:val="000000"/>
                <w:sz w:val="24"/>
              </w:rPr>
            </w:pPr>
            <w:r>
              <w:rPr>
                <w:rFonts w:hint="eastAsia" w:ascii="宋体" w:hAnsi="宋体" w:cs="宋体"/>
                <w:color w:val="000000"/>
                <w:sz w:val="24"/>
              </w:rPr>
              <w:t>1.98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D6423">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8D700">
            <w:pPr>
              <w:widowControl/>
              <w:jc w:val="center"/>
              <w:textAlignment w:val="center"/>
              <w:rPr>
                <w:rFonts w:ascii="宋体" w:hAnsi="宋体" w:cs="宋体"/>
                <w:color w:val="000000"/>
                <w:sz w:val="24"/>
              </w:rPr>
            </w:pPr>
            <w:r>
              <w:rPr>
                <w:rFonts w:hint="eastAsia" w:ascii="宋体" w:hAnsi="宋体" w:cs="宋体"/>
                <w:color w:val="000000"/>
                <w:sz w:val="24"/>
              </w:rPr>
              <w:t>1.98</w:t>
            </w:r>
          </w:p>
        </w:tc>
      </w:tr>
      <w:tr w14:paraId="2851F0A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D250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6AA3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9963B">
            <w:pPr>
              <w:widowControl/>
              <w:jc w:val="center"/>
              <w:textAlignment w:val="center"/>
              <w:rPr>
                <w:rFonts w:ascii="宋体" w:hAnsi="宋体" w:cs="宋体"/>
                <w:color w:val="000000"/>
                <w:sz w:val="24"/>
              </w:rPr>
            </w:pPr>
            <w:r>
              <w:rPr>
                <w:rFonts w:hint="eastAsia" w:ascii="宋体" w:hAnsi="宋体" w:cs="宋体"/>
                <w:color w:val="000000"/>
                <w:sz w:val="24"/>
              </w:rPr>
              <w:t>1.98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E2A7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32CFC">
            <w:pPr>
              <w:widowControl/>
              <w:jc w:val="center"/>
              <w:textAlignment w:val="center"/>
              <w:rPr>
                <w:rFonts w:ascii="宋体" w:hAnsi="宋体" w:cs="宋体"/>
                <w:color w:val="000000"/>
                <w:sz w:val="24"/>
              </w:rPr>
            </w:pPr>
            <w:r>
              <w:rPr>
                <w:rFonts w:hint="eastAsia" w:ascii="宋体" w:hAnsi="宋体" w:cs="宋体"/>
                <w:color w:val="000000"/>
                <w:sz w:val="24"/>
              </w:rPr>
              <w:t>1.98</w:t>
            </w:r>
          </w:p>
        </w:tc>
      </w:tr>
      <w:tr w14:paraId="6FDCB53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FBBE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66B3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146BA">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4665B">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A894F">
            <w:pPr>
              <w:jc w:val="center"/>
              <w:rPr>
                <w:rFonts w:ascii="宋体" w:hAnsi="宋体" w:cs="宋体"/>
                <w:color w:val="000000"/>
                <w:sz w:val="24"/>
              </w:rPr>
            </w:pPr>
            <w:r>
              <w:rPr>
                <w:rFonts w:hint="eastAsia" w:ascii="宋体" w:hAnsi="宋体" w:cs="宋体"/>
                <w:color w:val="000000"/>
                <w:sz w:val="24"/>
              </w:rPr>
              <w:t>0</w:t>
            </w:r>
          </w:p>
        </w:tc>
      </w:tr>
      <w:tr w14:paraId="5495172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60EDA">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C58E1">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A066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1816B7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61EDD">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86330">
            <w:pPr>
              <w:widowControl/>
              <w:jc w:val="center"/>
              <w:textAlignment w:val="center"/>
              <w:rPr>
                <w:rFonts w:ascii="宋体" w:hAnsi="宋体" w:cs="宋体"/>
                <w:color w:val="000000"/>
                <w:sz w:val="24"/>
              </w:rPr>
            </w:pPr>
            <w:r>
              <w:rPr>
                <w:rFonts w:hint="eastAsia" w:ascii="宋体" w:hAnsi="宋体" w:cs="宋体"/>
                <w:color w:val="000000"/>
                <w:sz w:val="24"/>
              </w:rPr>
              <w:t>积极配合完成执法预警及应急救援工作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8D2E0">
            <w:pPr>
              <w:widowControl/>
              <w:jc w:val="center"/>
              <w:textAlignment w:val="center"/>
              <w:rPr>
                <w:rFonts w:ascii="宋体" w:hAnsi="宋体" w:cs="宋体"/>
                <w:color w:val="000000"/>
                <w:sz w:val="24"/>
              </w:rPr>
            </w:pPr>
            <w:r>
              <w:rPr>
                <w:rFonts w:hint="eastAsia" w:ascii="宋体" w:hAnsi="宋体" w:cs="宋体"/>
                <w:color w:val="000000"/>
                <w:sz w:val="24"/>
              </w:rPr>
              <w:t>积极配合完成执法预警及应急救援工作</w:t>
            </w:r>
          </w:p>
        </w:tc>
      </w:tr>
      <w:tr w14:paraId="206B9BAA">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0A6BDF0">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20A77">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ECCFE">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B05C5">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5AA5C">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10217">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3DB9FBA">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4D380B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7159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1A615">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B9CF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68F70">
            <w:pPr>
              <w:widowControl/>
              <w:jc w:val="left"/>
              <w:textAlignment w:val="center"/>
              <w:rPr>
                <w:rFonts w:ascii="宋体" w:hAnsi="宋体" w:cs="宋体"/>
                <w:color w:val="000000"/>
                <w:sz w:val="24"/>
              </w:rPr>
            </w:pPr>
            <w:r>
              <w:rPr>
                <w:rFonts w:hint="eastAsia" w:ascii="宋体" w:hAnsi="宋体" w:cs="宋体"/>
                <w:color w:val="000000"/>
                <w:kern w:val="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E739C">
            <w:pPr>
              <w:widowControl/>
              <w:jc w:val="left"/>
              <w:textAlignment w:val="center"/>
              <w:rPr>
                <w:rFonts w:ascii="宋体" w:hAnsi="宋体" w:cs="宋体"/>
                <w:color w:val="000000"/>
                <w:sz w:val="24"/>
              </w:rPr>
            </w:pPr>
            <w:r>
              <w:rPr>
                <w:rFonts w:hint="eastAsia" w:ascii="宋体" w:hAnsi="宋体" w:cs="宋体"/>
                <w:color w:val="000000"/>
                <w:sz w:val="24"/>
              </w:rPr>
              <w:t>完成</w:t>
            </w:r>
          </w:p>
        </w:tc>
      </w:tr>
      <w:tr w14:paraId="72E6872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C89F5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32F6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2C10D">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3A6D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43D98">
            <w:pPr>
              <w:widowControl/>
              <w:jc w:val="left"/>
              <w:textAlignment w:val="center"/>
              <w:rPr>
                <w:rFonts w:ascii="宋体" w:hAnsi="宋体" w:cs="宋体"/>
                <w:color w:val="000000"/>
                <w:sz w:val="24"/>
              </w:rPr>
            </w:pPr>
            <w:r>
              <w:rPr>
                <w:rFonts w:hint="eastAsia" w:ascii="宋体" w:hAnsi="宋体" w:cs="宋体"/>
                <w:color w:val="000000"/>
                <w:kern w:val="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5865A">
            <w:pPr>
              <w:widowControl/>
              <w:jc w:val="left"/>
              <w:textAlignment w:val="center"/>
              <w:rPr>
                <w:rFonts w:ascii="宋体" w:hAnsi="宋体" w:cs="宋体"/>
                <w:color w:val="000000"/>
                <w:sz w:val="24"/>
              </w:rPr>
            </w:pPr>
            <w:r>
              <w:rPr>
                <w:rFonts w:hint="eastAsia" w:ascii="宋体" w:hAnsi="宋体" w:cs="宋体"/>
                <w:color w:val="000000"/>
                <w:sz w:val="24"/>
              </w:rPr>
              <w:t>完成</w:t>
            </w:r>
          </w:p>
        </w:tc>
      </w:tr>
      <w:tr w14:paraId="69A4708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1A98DA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D4A4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400F8">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BA76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E8054">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06E6B">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6AB9312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50BEB7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5FF1D">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21718">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7806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D808F">
            <w:pPr>
              <w:widowControl/>
              <w:jc w:val="left"/>
              <w:textAlignment w:val="center"/>
              <w:rPr>
                <w:rFonts w:ascii="宋体" w:hAnsi="宋体" w:cs="宋体"/>
                <w:color w:val="000000"/>
                <w:sz w:val="24"/>
              </w:rPr>
            </w:pPr>
            <w:r>
              <w:rPr>
                <w:rFonts w:hint="eastAsia" w:ascii="宋体" w:hAnsi="宋体" w:cs="宋体"/>
                <w:color w:val="000000"/>
                <w:sz w:val="24"/>
              </w:rPr>
              <w:t>执法预警及应急救援工作经费19800.00元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26EE0">
            <w:pPr>
              <w:widowControl/>
              <w:jc w:val="left"/>
              <w:textAlignment w:val="center"/>
              <w:rPr>
                <w:rFonts w:ascii="宋体" w:hAnsi="宋体" w:cs="宋体"/>
                <w:color w:val="000000"/>
                <w:sz w:val="24"/>
              </w:rPr>
            </w:pPr>
            <w:r>
              <w:rPr>
                <w:rFonts w:hint="eastAsia" w:ascii="宋体" w:hAnsi="宋体" w:cs="宋体"/>
                <w:color w:val="000000"/>
                <w:sz w:val="24"/>
              </w:rPr>
              <w:t>执法预警及应急救援工作经费19800.00元</w:t>
            </w:r>
          </w:p>
        </w:tc>
      </w:tr>
      <w:tr w14:paraId="048424F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F040A9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69139">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45BB2">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2315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2A50A">
            <w:pPr>
              <w:widowControl/>
              <w:jc w:val="left"/>
              <w:textAlignment w:val="center"/>
              <w:rPr>
                <w:rFonts w:ascii="宋体" w:hAnsi="宋体" w:cs="宋体"/>
                <w:color w:val="000000"/>
                <w:sz w:val="24"/>
              </w:rPr>
            </w:pPr>
            <w:r>
              <w:rPr>
                <w:rFonts w:hint="eastAsia" w:ascii="宋体" w:hAnsi="宋体" w:cs="宋体"/>
                <w:color w:val="000000"/>
                <w:sz w:val="24"/>
              </w:rPr>
              <w:t>完成执法预警及应急救援工作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483BA">
            <w:pPr>
              <w:widowControl/>
              <w:jc w:val="left"/>
              <w:textAlignment w:val="center"/>
              <w:rPr>
                <w:rFonts w:ascii="宋体" w:hAnsi="宋体" w:cs="宋体"/>
                <w:color w:val="000000"/>
                <w:sz w:val="24"/>
              </w:rPr>
            </w:pPr>
            <w:r>
              <w:rPr>
                <w:rFonts w:hint="eastAsia" w:ascii="宋体" w:hAnsi="宋体" w:cs="宋体"/>
                <w:color w:val="000000"/>
                <w:sz w:val="24"/>
              </w:rPr>
              <w:t>完成执法预警及应急救援工作</w:t>
            </w:r>
          </w:p>
        </w:tc>
      </w:tr>
      <w:tr w14:paraId="703241B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1B9B71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925F7">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E7E0C">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9154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F206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907F6">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BF84A9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009397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B56D2">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9939A">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104B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6F70C">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0BFC6">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41BF4A0E">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AE114E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7496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6755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11468">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62AD6">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03AB5">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5C916741">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771BE1C">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465E0B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1E04A">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F010E">
            <w:pPr>
              <w:widowControl/>
              <w:jc w:val="center"/>
              <w:textAlignment w:val="center"/>
              <w:rPr>
                <w:rFonts w:ascii="宋体" w:hAnsi="宋体" w:cs="宋体"/>
                <w:color w:val="000000"/>
                <w:sz w:val="24"/>
              </w:rPr>
            </w:pPr>
            <w:r>
              <w:rPr>
                <w:rFonts w:hint="eastAsia" w:ascii="宋体" w:hAnsi="宋体" w:cs="宋体"/>
                <w:color w:val="000000"/>
                <w:sz w:val="24"/>
              </w:rPr>
              <w:t>目标考核奖</w:t>
            </w:r>
          </w:p>
        </w:tc>
      </w:tr>
      <w:tr w14:paraId="5064760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2287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6D50F">
            <w:pPr>
              <w:widowControl/>
              <w:jc w:val="center"/>
              <w:textAlignment w:val="center"/>
              <w:rPr>
                <w:rFonts w:ascii="宋体" w:hAnsi="宋体" w:cs="宋体"/>
                <w:color w:val="000000"/>
                <w:sz w:val="24"/>
              </w:rPr>
            </w:pPr>
            <w:r>
              <w:rPr>
                <w:rFonts w:hint="eastAsia" w:ascii="宋体" w:hAnsi="宋体" w:cs="宋体"/>
                <w:color w:val="000000"/>
                <w:sz w:val="24"/>
              </w:rPr>
              <w:t>乐山市应急管理局高新区分局</w:t>
            </w:r>
          </w:p>
        </w:tc>
      </w:tr>
      <w:tr w14:paraId="2967AC3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60336">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F799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24452">
            <w:pPr>
              <w:widowControl/>
              <w:jc w:val="center"/>
              <w:textAlignment w:val="center"/>
              <w:rPr>
                <w:rFonts w:ascii="宋体" w:hAnsi="宋体" w:cs="宋体"/>
                <w:color w:val="000000"/>
                <w:sz w:val="24"/>
              </w:rPr>
            </w:pPr>
            <w:r>
              <w:rPr>
                <w:rFonts w:hint="eastAsia" w:ascii="宋体" w:hAnsi="宋体" w:cs="宋体"/>
                <w:color w:val="000000"/>
                <w:sz w:val="24"/>
              </w:rPr>
              <w:t>23.69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91C63">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6A9F3">
            <w:pPr>
              <w:widowControl/>
              <w:jc w:val="center"/>
              <w:textAlignment w:val="center"/>
              <w:rPr>
                <w:rFonts w:ascii="宋体" w:hAnsi="宋体" w:cs="宋体"/>
                <w:color w:val="000000"/>
                <w:sz w:val="24"/>
              </w:rPr>
            </w:pPr>
            <w:r>
              <w:rPr>
                <w:rFonts w:hint="eastAsia" w:ascii="宋体" w:hAnsi="宋体" w:cs="宋体"/>
                <w:color w:val="000000"/>
                <w:sz w:val="24"/>
              </w:rPr>
              <w:t>23.69</w:t>
            </w:r>
          </w:p>
        </w:tc>
      </w:tr>
      <w:tr w14:paraId="3936F70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C19C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7305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2DFA8">
            <w:pPr>
              <w:widowControl/>
              <w:jc w:val="center"/>
              <w:textAlignment w:val="center"/>
              <w:rPr>
                <w:rFonts w:ascii="宋体" w:hAnsi="宋体" w:cs="宋体"/>
                <w:color w:val="000000"/>
                <w:sz w:val="24"/>
              </w:rPr>
            </w:pPr>
            <w:r>
              <w:rPr>
                <w:rFonts w:hint="eastAsia" w:ascii="宋体" w:hAnsi="宋体" w:cs="宋体"/>
                <w:color w:val="000000"/>
                <w:sz w:val="24"/>
              </w:rPr>
              <w:t>23.69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8D2B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30DFE">
            <w:pPr>
              <w:widowControl/>
              <w:jc w:val="center"/>
              <w:textAlignment w:val="center"/>
              <w:rPr>
                <w:rFonts w:ascii="宋体" w:hAnsi="宋体" w:cs="宋体"/>
                <w:color w:val="000000"/>
                <w:sz w:val="24"/>
              </w:rPr>
            </w:pPr>
            <w:r>
              <w:rPr>
                <w:rFonts w:hint="eastAsia" w:ascii="宋体" w:hAnsi="宋体" w:cs="宋体"/>
                <w:color w:val="000000"/>
                <w:sz w:val="24"/>
              </w:rPr>
              <w:t>23.69</w:t>
            </w:r>
          </w:p>
        </w:tc>
      </w:tr>
      <w:tr w14:paraId="4B4652D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1890F">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CD341">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4ABB7">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D843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77E52">
            <w:pPr>
              <w:jc w:val="center"/>
              <w:rPr>
                <w:rFonts w:ascii="宋体" w:hAnsi="宋体" w:cs="宋体"/>
                <w:color w:val="000000"/>
                <w:sz w:val="24"/>
              </w:rPr>
            </w:pPr>
            <w:r>
              <w:rPr>
                <w:rFonts w:hint="eastAsia" w:ascii="宋体" w:hAnsi="宋体" w:cs="宋体"/>
                <w:color w:val="000000"/>
                <w:sz w:val="24"/>
              </w:rPr>
              <w:t>0</w:t>
            </w:r>
          </w:p>
        </w:tc>
      </w:tr>
      <w:tr w14:paraId="1CA2F95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84E27">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555E1">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B820B">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A509E8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D5786">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C9DAA">
            <w:pPr>
              <w:widowControl/>
              <w:jc w:val="center"/>
              <w:textAlignment w:val="center"/>
              <w:rPr>
                <w:rFonts w:ascii="宋体" w:hAnsi="宋体" w:cs="宋体"/>
                <w:color w:val="000000"/>
                <w:sz w:val="24"/>
              </w:rPr>
            </w:pPr>
            <w:r>
              <w:rPr>
                <w:rFonts w:hint="eastAsia" w:ascii="宋体" w:hAnsi="宋体" w:cs="宋体"/>
                <w:color w:val="000000"/>
                <w:sz w:val="24"/>
              </w:rPr>
              <w:t>完成应急管理事务目标考核工作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90E16">
            <w:pPr>
              <w:widowControl/>
              <w:jc w:val="center"/>
              <w:textAlignment w:val="center"/>
              <w:rPr>
                <w:rFonts w:ascii="宋体" w:hAnsi="宋体" w:cs="宋体"/>
                <w:color w:val="000000"/>
                <w:sz w:val="24"/>
              </w:rPr>
            </w:pPr>
            <w:r>
              <w:rPr>
                <w:rFonts w:hint="eastAsia" w:ascii="宋体" w:hAnsi="宋体" w:cs="宋体"/>
                <w:color w:val="000000"/>
                <w:sz w:val="24"/>
              </w:rPr>
              <w:t>完成应急管理事务目标考核工作</w:t>
            </w:r>
          </w:p>
        </w:tc>
      </w:tr>
      <w:tr w14:paraId="0231EDD2">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617FB7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17DA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DDFC2">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C9BB3">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7ABA5">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82BE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2B00DD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6C76D4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7AA4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ABEA4">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ED8E8">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F377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65F35">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0147FE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8A2954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FB83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3ED24">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D556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D05F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BACC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2FC0CE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268283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E842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63898">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847D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11160">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0A1C0">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52491CB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49529C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36CA1">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C0315">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3DD5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指标1：目标考核奖励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94B9F">
            <w:pPr>
              <w:widowControl/>
              <w:jc w:val="left"/>
              <w:textAlignment w:val="center"/>
              <w:rPr>
                <w:rFonts w:ascii="宋体" w:hAnsi="宋体" w:cs="宋体"/>
                <w:color w:val="000000"/>
                <w:sz w:val="24"/>
              </w:rPr>
            </w:pPr>
            <w:r>
              <w:rPr>
                <w:rFonts w:hint="eastAsia" w:ascii="宋体" w:hAnsi="宋体" w:cs="宋体"/>
                <w:color w:val="000000"/>
                <w:kern w:val="0"/>
                <w:sz w:val="24"/>
              </w:rPr>
              <w:t>考核奖励236900.00元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78C86">
            <w:pPr>
              <w:widowControl/>
              <w:jc w:val="left"/>
              <w:textAlignment w:val="center"/>
              <w:rPr>
                <w:rFonts w:ascii="宋体" w:hAnsi="宋体" w:cs="宋体"/>
                <w:color w:val="000000"/>
                <w:sz w:val="24"/>
              </w:rPr>
            </w:pPr>
            <w:r>
              <w:rPr>
                <w:rFonts w:hint="eastAsia" w:ascii="宋体" w:hAnsi="宋体" w:cs="宋体"/>
                <w:color w:val="000000"/>
                <w:kern w:val="0"/>
                <w:sz w:val="24"/>
              </w:rPr>
              <w:t>考核奖励236900.00元</w:t>
            </w:r>
          </w:p>
        </w:tc>
      </w:tr>
      <w:tr w14:paraId="2CE022A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7953FE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B789C">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E71B8">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53E48">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指标1：是否达标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9CD27">
            <w:pPr>
              <w:widowControl/>
              <w:jc w:val="left"/>
              <w:textAlignment w:val="center"/>
              <w:rPr>
                <w:rFonts w:ascii="宋体" w:hAnsi="宋体" w:cs="宋体"/>
                <w:color w:val="000000"/>
                <w:sz w:val="24"/>
              </w:rPr>
            </w:pPr>
            <w:r>
              <w:rPr>
                <w:rFonts w:hint="eastAsia" w:ascii="宋体" w:hAnsi="宋体" w:cs="宋体"/>
                <w:color w:val="000000"/>
                <w:sz w:val="24"/>
              </w:rPr>
              <w:t>完成应急管理事务目标考核工作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0AD4D">
            <w:pPr>
              <w:widowControl/>
              <w:jc w:val="left"/>
              <w:textAlignment w:val="center"/>
              <w:rPr>
                <w:rFonts w:ascii="宋体" w:hAnsi="宋体" w:cs="宋体"/>
                <w:color w:val="000000"/>
                <w:sz w:val="24"/>
              </w:rPr>
            </w:pPr>
            <w:r>
              <w:rPr>
                <w:rFonts w:hint="eastAsia" w:ascii="宋体" w:hAnsi="宋体" w:cs="宋体"/>
                <w:color w:val="000000"/>
                <w:sz w:val="24"/>
              </w:rPr>
              <w:t>完成应急管理事务目标考核工作</w:t>
            </w:r>
          </w:p>
        </w:tc>
      </w:tr>
      <w:tr w14:paraId="48DB13E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E0938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CE77B">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6F8DA">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37D8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B169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56085">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5E0BAEF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1DDDBD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E9B0C">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2F060">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FDE1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0E6C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75DD7">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52F04F8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FD4209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8674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EEF5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C9CA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1E535">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DD078">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14:paraId="6065F1C1">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4010FD5">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09CC6BD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89577">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ABED0">
            <w:pPr>
              <w:widowControl/>
              <w:jc w:val="center"/>
              <w:textAlignment w:val="center"/>
              <w:rPr>
                <w:rFonts w:ascii="宋体" w:hAnsi="宋体" w:cs="宋体"/>
                <w:color w:val="000000"/>
                <w:sz w:val="24"/>
              </w:rPr>
            </w:pPr>
            <w:r>
              <w:rPr>
                <w:rFonts w:hint="eastAsia" w:ascii="宋体" w:hAnsi="宋体" w:cs="宋体"/>
                <w:color w:val="000000"/>
                <w:sz w:val="24"/>
              </w:rPr>
              <w:t>绩效奖</w:t>
            </w:r>
          </w:p>
        </w:tc>
      </w:tr>
      <w:tr w14:paraId="6FA20EB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FBF5A">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B8924">
            <w:pPr>
              <w:widowControl/>
              <w:jc w:val="center"/>
              <w:textAlignment w:val="center"/>
              <w:rPr>
                <w:rFonts w:ascii="宋体" w:hAnsi="宋体" w:cs="宋体"/>
                <w:color w:val="000000"/>
                <w:sz w:val="24"/>
              </w:rPr>
            </w:pPr>
            <w:r>
              <w:rPr>
                <w:rFonts w:hint="eastAsia" w:ascii="宋体" w:hAnsi="宋体" w:cs="宋体"/>
                <w:color w:val="000000"/>
                <w:sz w:val="24"/>
              </w:rPr>
              <w:t>乐山市应急管理局高新区分局</w:t>
            </w:r>
          </w:p>
        </w:tc>
      </w:tr>
      <w:tr w14:paraId="359C3622">
        <w:tblPrEx>
          <w:tblCellMar>
            <w:top w:w="0" w:type="dxa"/>
            <w:left w:w="0" w:type="dxa"/>
            <w:bottom w:w="0" w:type="dxa"/>
            <w:right w:w="0" w:type="dxa"/>
          </w:tblCellMar>
        </w:tblPrEx>
        <w:trPr>
          <w:trHeight w:val="30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992D1">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E139F">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3FB1A">
            <w:pPr>
              <w:widowControl/>
              <w:jc w:val="center"/>
              <w:textAlignment w:val="center"/>
              <w:rPr>
                <w:rFonts w:ascii="宋体" w:hAnsi="宋体" w:cs="宋体"/>
                <w:color w:val="000000"/>
                <w:sz w:val="24"/>
              </w:rPr>
            </w:pPr>
            <w:r>
              <w:rPr>
                <w:rFonts w:hint="eastAsia" w:ascii="宋体" w:hAnsi="宋体" w:cs="宋体"/>
                <w:color w:val="000000"/>
                <w:sz w:val="24"/>
              </w:rPr>
              <w:t>2.82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3018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B316A">
            <w:pPr>
              <w:widowControl/>
              <w:jc w:val="center"/>
              <w:textAlignment w:val="center"/>
              <w:rPr>
                <w:rFonts w:ascii="宋体" w:hAnsi="宋体" w:cs="宋体"/>
                <w:color w:val="000000"/>
                <w:sz w:val="24"/>
              </w:rPr>
            </w:pPr>
            <w:r>
              <w:rPr>
                <w:rFonts w:hint="eastAsia" w:ascii="宋体" w:hAnsi="宋体" w:cs="宋体"/>
                <w:color w:val="000000"/>
                <w:sz w:val="24"/>
              </w:rPr>
              <w:t>2.82</w:t>
            </w:r>
          </w:p>
        </w:tc>
      </w:tr>
      <w:tr w14:paraId="6C88780F">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177D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716C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00DF1">
            <w:pPr>
              <w:widowControl/>
              <w:jc w:val="center"/>
              <w:textAlignment w:val="center"/>
              <w:rPr>
                <w:rFonts w:ascii="宋体" w:hAnsi="宋体" w:cs="宋体"/>
                <w:color w:val="000000"/>
                <w:sz w:val="24"/>
              </w:rPr>
            </w:pPr>
            <w:r>
              <w:rPr>
                <w:rFonts w:hint="eastAsia" w:ascii="宋体" w:hAnsi="宋体" w:cs="宋体"/>
                <w:color w:val="000000"/>
                <w:sz w:val="24"/>
              </w:rPr>
              <w:t>2.82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7A88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DCF9C">
            <w:pPr>
              <w:widowControl/>
              <w:jc w:val="center"/>
              <w:textAlignment w:val="center"/>
              <w:rPr>
                <w:rFonts w:ascii="宋体" w:hAnsi="宋体" w:cs="宋体"/>
                <w:color w:val="000000"/>
                <w:sz w:val="24"/>
              </w:rPr>
            </w:pPr>
            <w:r>
              <w:rPr>
                <w:rFonts w:hint="eastAsia" w:ascii="宋体" w:hAnsi="宋体" w:cs="宋体"/>
                <w:color w:val="000000"/>
                <w:sz w:val="24"/>
              </w:rPr>
              <w:t>2.82</w:t>
            </w:r>
          </w:p>
        </w:tc>
      </w:tr>
      <w:tr w14:paraId="4C5F854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BD00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01F8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B99AB">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89AE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54BA5">
            <w:pPr>
              <w:jc w:val="center"/>
              <w:rPr>
                <w:rFonts w:ascii="宋体" w:hAnsi="宋体" w:cs="宋体"/>
                <w:color w:val="000000"/>
                <w:sz w:val="24"/>
              </w:rPr>
            </w:pPr>
            <w:r>
              <w:rPr>
                <w:rFonts w:hint="eastAsia" w:ascii="宋体" w:hAnsi="宋体" w:cs="宋体"/>
                <w:color w:val="000000"/>
                <w:sz w:val="24"/>
              </w:rPr>
              <w:t>0</w:t>
            </w:r>
          </w:p>
        </w:tc>
      </w:tr>
      <w:tr w14:paraId="66BC756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86824">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D498C">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526A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9BDA8B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FE310">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C87CA">
            <w:pPr>
              <w:widowControl/>
              <w:jc w:val="center"/>
              <w:textAlignment w:val="center"/>
              <w:rPr>
                <w:rFonts w:ascii="宋体" w:hAnsi="宋体" w:cs="宋体"/>
                <w:color w:val="000000"/>
                <w:sz w:val="24"/>
              </w:rPr>
            </w:pPr>
            <w:r>
              <w:rPr>
                <w:rFonts w:hint="eastAsia" w:ascii="宋体" w:hAnsi="宋体" w:cs="宋体"/>
                <w:color w:val="000000"/>
                <w:sz w:val="24"/>
              </w:rPr>
              <w:t>完成应急管理事务绩效考核工作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E1FE2">
            <w:pPr>
              <w:widowControl/>
              <w:jc w:val="center"/>
              <w:textAlignment w:val="center"/>
              <w:rPr>
                <w:rFonts w:ascii="宋体" w:hAnsi="宋体" w:cs="宋体"/>
                <w:color w:val="000000"/>
                <w:sz w:val="24"/>
              </w:rPr>
            </w:pPr>
            <w:r>
              <w:rPr>
                <w:rFonts w:hint="eastAsia" w:ascii="宋体" w:hAnsi="宋体" w:cs="宋体"/>
                <w:color w:val="000000"/>
                <w:sz w:val="24"/>
              </w:rPr>
              <w:t>完成应急管理事务绩效考核工作</w:t>
            </w:r>
          </w:p>
        </w:tc>
      </w:tr>
      <w:tr w14:paraId="45451B4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0B3853A">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9B27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36202">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5992D">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1DBFA">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A30E7">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E58875C">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80722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0473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A9BF6">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5B3E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DAFCE">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CC1AE">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690F564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F2DB0D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C94B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BC513">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FE6E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39E81">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6B8A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1031544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71555F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B28A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9EC85">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5175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C9A5E">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EDD4D">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2962816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998767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54B7C">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23186">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B7E8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指标1：绩效奖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722EE">
            <w:pPr>
              <w:widowControl/>
              <w:jc w:val="left"/>
              <w:textAlignment w:val="center"/>
              <w:rPr>
                <w:rFonts w:ascii="宋体" w:hAnsi="宋体" w:cs="宋体"/>
                <w:color w:val="000000"/>
                <w:sz w:val="24"/>
              </w:rPr>
            </w:pPr>
            <w:r>
              <w:rPr>
                <w:rFonts w:hint="eastAsia" w:ascii="宋体" w:hAnsi="宋体" w:cs="宋体"/>
                <w:color w:val="000000"/>
                <w:kern w:val="0"/>
                <w:sz w:val="24"/>
              </w:rPr>
              <w:t>绩效奖28200.00元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788C9">
            <w:pPr>
              <w:widowControl/>
              <w:jc w:val="left"/>
              <w:textAlignment w:val="center"/>
              <w:rPr>
                <w:rFonts w:ascii="宋体" w:hAnsi="宋体" w:cs="宋体"/>
                <w:color w:val="000000"/>
                <w:sz w:val="24"/>
              </w:rPr>
            </w:pPr>
            <w:r>
              <w:rPr>
                <w:rFonts w:hint="eastAsia" w:ascii="宋体" w:hAnsi="宋体" w:cs="宋体"/>
                <w:color w:val="000000"/>
                <w:kern w:val="0"/>
                <w:sz w:val="24"/>
              </w:rPr>
              <w:t>绩效奖28200.00元</w:t>
            </w:r>
          </w:p>
        </w:tc>
      </w:tr>
      <w:tr w14:paraId="2EA3211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9ABE92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70D5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02125">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AFD7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指标1：是否达标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F1444">
            <w:pPr>
              <w:widowControl/>
              <w:jc w:val="left"/>
              <w:textAlignment w:val="center"/>
              <w:rPr>
                <w:rFonts w:ascii="宋体" w:hAnsi="宋体" w:cs="宋体"/>
                <w:color w:val="000000"/>
                <w:sz w:val="24"/>
              </w:rPr>
            </w:pPr>
            <w:r>
              <w:rPr>
                <w:rFonts w:hint="eastAsia" w:ascii="宋体" w:hAnsi="宋体" w:cs="宋体"/>
                <w:color w:val="000000"/>
                <w:sz w:val="24"/>
              </w:rPr>
              <w:t>完成应急管理事务绩效考核工作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BF7B7">
            <w:pPr>
              <w:widowControl/>
              <w:jc w:val="left"/>
              <w:textAlignment w:val="center"/>
              <w:rPr>
                <w:rFonts w:ascii="宋体" w:hAnsi="宋体" w:cs="宋体"/>
                <w:color w:val="000000"/>
                <w:sz w:val="24"/>
              </w:rPr>
            </w:pPr>
            <w:r>
              <w:rPr>
                <w:rFonts w:hint="eastAsia" w:ascii="宋体" w:hAnsi="宋体" w:cs="宋体"/>
                <w:color w:val="000000"/>
                <w:sz w:val="24"/>
              </w:rPr>
              <w:t>完成应急管理事务绩效考核工作</w:t>
            </w:r>
          </w:p>
        </w:tc>
      </w:tr>
      <w:tr w14:paraId="2CCCEAC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C1CE79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F2232">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CC593">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9054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64E3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8812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E2E115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B442BC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B9290">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C8A9F">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C919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E0FF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2FB76">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915FF9A">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2138FD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58E8A">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F05F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8EF4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3131A">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07915">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bl>
    <w:p w14:paraId="0FC389AF">
      <w:pPr>
        <w:spacing w:line="580" w:lineRule="exact"/>
        <w:rPr>
          <w:rFonts w:ascii="仿宋_GB2312" w:hAnsi="仿宋_GB2312" w:eastAsia="仿宋_GB2312" w:cs="仿宋_GB2312"/>
          <w:sz w:val="32"/>
          <w:szCs w:val="32"/>
        </w:rPr>
      </w:pPr>
    </w:p>
    <w:p w14:paraId="5157700D">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4D9613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本部门按要求对2019年部门整体支出绩效评价情况开展自评，《乐山市应急管理局高新区分局2019年部门整体支出绩效评价报告》见附件（附件1）。</w:t>
      </w:r>
    </w:p>
    <w:p w14:paraId="6C4104E4">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B717EB2">
      <w:pPr>
        <w:pStyle w:val="2"/>
        <w:jc w:val="center"/>
        <w:rPr>
          <w:rFonts w:ascii="黑体" w:hAnsi="黑体" w:eastAsia="黑体" w:cs="黑体"/>
          <w:b w:val="0"/>
          <w:bCs w:val="0"/>
        </w:rPr>
      </w:pPr>
      <w:bookmarkStart w:id="73" w:name="_Toc15377225"/>
      <w:bookmarkStart w:id="74" w:name="_Toc16434"/>
      <w:bookmarkStart w:id="75" w:name="_Toc15396613"/>
      <w:r>
        <w:rPr>
          <w:rFonts w:hint="eastAsia" w:ascii="黑体" w:hAnsi="黑体" w:eastAsia="黑体" w:cs="黑体"/>
          <w:b w:val="0"/>
          <w:bCs w:val="0"/>
        </w:rPr>
        <w:t>第三部分 名词解释</w:t>
      </w:r>
      <w:bookmarkEnd w:id="73"/>
      <w:bookmarkEnd w:id="74"/>
      <w:bookmarkEnd w:id="75"/>
    </w:p>
    <w:p w14:paraId="22FC5BAE">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753BE39D">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7825CC8D">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7F8E6358">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2885C9A8">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7AD9762B">
      <w:pPr>
        <w:spacing w:line="60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一般公共服务（类）政府办公厅（室）及相关机构事务（款）行政运行（项）:指市政府法制办用于保障机构正常运行、开展日常工作的基本支出。</w:t>
      </w:r>
    </w:p>
    <w:p w14:paraId="7EA09552">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反映事业单位的基本支出，不包括行政单位的（包括施行公务员管理的事业单位）、后勤服务中心、医务室等附属事业单位。</w:t>
      </w:r>
    </w:p>
    <w:p w14:paraId="4FA03556">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国防支出（类）国防动员（款）人民防空（项）：指反映人民防空项目支出。</w:t>
      </w:r>
    </w:p>
    <w:p w14:paraId="68E148B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节能环保（类）污染防治（款）水体（项）：指反映水体污染防治项目支出。</w:t>
      </w:r>
    </w:p>
    <w:p w14:paraId="6D0A1CF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14:paraId="006E453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14:paraId="7F008458">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12.城乡社区（类）城乡社区环境卫生（款）城乡社区环境卫生（项）：指反映城乡社区环境卫生项目支出。</w:t>
      </w:r>
    </w:p>
    <w:p w14:paraId="1039DB38">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13.农林水支出（类）农业（款）防灾救灾（项）：指反映农业防灾救灾项目支出。</w:t>
      </w:r>
    </w:p>
    <w:p w14:paraId="6DF410E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14.农林水支出（类）水利（款）水利工程运行与维护(项):指反映水利工程运行和维护项目支出。</w:t>
      </w:r>
    </w:p>
    <w:p w14:paraId="08A67B7A">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15.农林水支出（类）水利（款）防汛（项）：指反映水利防汛项目支出。</w:t>
      </w:r>
    </w:p>
    <w:p w14:paraId="0AF3FA3B">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16.农林水支出（类）水利（款）江河湖库水系综合整治（项）：指反映江河湖库水系综合整治项目支出。</w:t>
      </w:r>
    </w:p>
    <w:p w14:paraId="77C3750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17.交通运输支出（类）公路水路运输（款）公路和运输安全（项）：指反映公路水路运输安全项目支出。</w:t>
      </w:r>
    </w:p>
    <w:p w14:paraId="0397340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18.交通运输支出（类）其他交通运输支出（款）其他交通运输支出（项）：指反映行政单位的（包括施行公务员管理的事业单位）未单独设置项级科目的其他交通运输项目支出。</w:t>
      </w:r>
    </w:p>
    <w:p w14:paraId="4C4E46B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19.资源勘探信息等支出（类）支持中小企业发展和管理支出（款）其他支持中小企业发展和管理支出（项）：指反映行政单位的（包括施行公务员管理的事业单位）未单独设置项级科目的其他支持中小企业发展和管理的项目支出。</w:t>
      </w:r>
    </w:p>
    <w:p w14:paraId="5A11694A">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20.住房保障（类）保障性安居工程支出（款）保障性安居工程支出（项）：指反映保障性安居工程项目支出。</w:t>
      </w:r>
    </w:p>
    <w:p w14:paraId="3721F69F">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7A8E7E3">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4A03E2AC">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421EF333">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A9D75FC">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12E858">
      <w:pPr>
        <w:pStyle w:val="22"/>
        <w:spacing w:line="560" w:lineRule="exact"/>
        <w:ind w:firstLine="640" w:firstLineChars="200"/>
        <w:rPr>
          <w:rFonts w:ascii="仿宋_GB2312" w:eastAsia="仿宋_GB2312" w:cs="黑体"/>
          <w:sz w:val="32"/>
          <w:szCs w:val="32"/>
        </w:rPr>
      </w:pPr>
    </w:p>
    <w:p w14:paraId="37612939">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4B651DD8">
      <w:pPr>
        <w:spacing w:line="600" w:lineRule="exact"/>
        <w:jc w:val="center"/>
        <w:outlineLvl w:val="0"/>
        <w:rPr>
          <w:rStyle w:val="24"/>
          <w:rFonts w:ascii="黑体" w:hAnsi="黑体" w:eastAsia="黑体"/>
          <w:b w:val="0"/>
        </w:rPr>
      </w:pPr>
      <w:bookmarkStart w:id="76" w:name="_Toc15377226"/>
      <w:r>
        <w:rPr>
          <w:rFonts w:ascii="宋体"/>
          <w:b/>
          <w:color w:val="000000"/>
          <w:sz w:val="44"/>
          <w:szCs w:val="44"/>
        </w:rPr>
        <w:br w:type="page"/>
      </w:r>
      <w:bookmarkStart w:id="77" w:name="_Toc1109"/>
      <w:bookmarkStart w:id="78" w:name="_Toc15396614"/>
      <w:r>
        <w:rPr>
          <w:rStyle w:val="24"/>
          <w:rFonts w:hint="eastAsia" w:ascii="黑体" w:hAnsi="黑体" w:eastAsia="黑体" w:cs="黑体"/>
          <w:b w:val="0"/>
          <w:bCs w:val="0"/>
        </w:rPr>
        <w:t>第四部分 附件</w:t>
      </w:r>
      <w:bookmarkEnd w:id="77"/>
      <w:bookmarkEnd w:id="78"/>
    </w:p>
    <w:p w14:paraId="51D98817">
      <w:pPr>
        <w:pStyle w:val="2"/>
        <w:rPr>
          <w:rFonts w:ascii="黑体" w:hAnsi="黑体" w:eastAsia="黑体" w:cs="黑体"/>
          <w:b w:val="0"/>
          <w:bCs w:val="0"/>
          <w:sz w:val="32"/>
          <w:szCs w:val="32"/>
        </w:rPr>
      </w:pPr>
      <w:bookmarkStart w:id="79" w:name="_Toc28753"/>
      <w:r>
        <w:rPr>
          <w:rFonts w:hint="eastAsia" w:ascii="黑体" w:hAnsi="黑体" w:eastAsia="黑体" w:cs="黑体"/>
          <w:b w:val="0"/>
          <w:bCs w:val="0"/>
          <w:sz w:val="32"/>
          <w:szCs w:val="32"/>
        </w:rPr>
        <w:t>附件1</w:t>
      </w:r>
      <w:bookmarkEnd w:id="79"/>
    </w:p>
    <w:p w14:paraId="60746729">
      <w:pPr>
        <w:spacing w:line="580" w:lineRule="exact"/>
        <w:jc w:val="center"/>
        <w:rPr>
          <w:rFonts w:ascii="方正小标宋简体" w:hAnsi="方正小标宋简体" w:eastAsia="方正小标宋简体" w:cs="方正小标宋简体"/>
          <w:sz w:val="44"/>
          <w:szCs w:val="44"/>
        </w:rPr>
      </w:pPr>
    </w:p>
    <w:p w14:paraId="5CF90E67">
      <w:pPr>
        <w:spacing w:line="600" w:lineRule="exact"/>
        <w:jc w:val="center"/>
        <w:rPr>
          <w:rFonts w:ascii="仿宋_GB2312" w:hAnsi="宋体" w:eastAsia="仿宋_GB2312"/>
          <w:sz w:val="32"/>
          <w:szCs w:val="32"/>
          <w:shd w:val="clear" w:color="auto" w:fill="FFFFFF"/>
        </w:rPr>
      </w:pPr>
      <w:bookmarkStart w:id="80" w:name="_Toc31008"/>
      <w:bookmarkStart w:id="81" w:name="_Toc15396618"/>
      <w:r>
        <w:rPr>
          <w:rFonts w:hint="eastAsia" w:ascii="方正小标宋简体" w:hAnsi="宋体" w:eastAsia="方正小标宋简体"/>
          <w:color w:val="000000"/>
          <w:kern w:val="0"/>
          <w:sz w:val="40"/>
          <w:szCs w:val="44"/>
        </w:rPr>
        <w:t>乐山市应急管理局高新区分局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55A3AE6B">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34503D06">
      <w:pPr>
        <w:topLinePunct/>
        <w:spacing w:line="600" w:lineRule="exact"/>
        <w:outlineLvl w:val="0"/>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一、单位概况</w:t>
      </w:r>
    </w:p>
    <w:p w14:paraId="2B903CB4">
      <w:pPr>
        <w:numPr>
          <w:ilvl w:val="0"/>
          <w:numId w:val="3"/>
        </w:numPr>
        <w:spacing w:line="600" w:lineRule="exact"/>
        <w:outlineLvl w:val="1"/>
        <w:rPr>
          <w:rFonts w:ascii="仿宋_GB2312" w:hAnsi="Calibri" w:eastAsia="仿宋_GB2312"/>
          <w:sz w:val="30"/>
          <w:szCs w:val="30"/>
        </w:rPr>
      </w:pPr>
      <w:r>
        <w:rPr>
          <w:rFonts w:hint="eastAsia" w:ascii="楷体_GB2312" w:hAnsi="Calibri" w:eastAsia="楷体_GB2312"/>
          <w:sz w:val="32"/>
          <w:szCs w:val="21"/>
          <w:shd w:val="clear" w:color="auto" w:fill="FFFFFF"/>
          <w:lang w:val="zh-CN"/>
        </w:rPr>
        <w:t>机构组成。</w:t>
      </w:r>
      <w:r>
        <w:rPr>
          <w:rFonts w:hint="eastAsia" w:ascii="仿宋_GB2312" w:hAnsi="Calibri" w:eastAsia="仿宋_GB2312"/>
          <w:sz w:val="30"/>
          <w:szCs w:val="30"/>
          <w:lang w:val="zh-CN"/>
        </w:rPr>
        <w:t>乐山市应急管理局高新区分局</w:t>
      </w:r>
      <w:r>
        <w:rPr>
          <w:rFonts w:hint="eastAsia" w:ascii="仿宋_GB2312" w:hAnsi="Calibri" w:eastAsia="仿宋_GB2312"/>
          <w:sz w:val="30"/>
          <w:szCs w:val="30"/>
        </w:rPr>
        <w:t>属于高新区一级预算单位，参照公务员法管理办法进行管理，无下属二级预算单位。</w:t>
      </w:r>
    </w:p>
    <w:p w14:paraId="020D5B09">
      <w:pPr>
        <w:numPr>
          <w:ilvl w:val="0"/>
          <w:numId w:val="3"/>
        </w:numPr>
        <w:spacing w:line="600" w:lineRule="exact"/>
        <w:outlineLvl w:val="1"/>
        <w:rPr>
          <w:rFonts w:ascii="仿宋" w:hAnsi="仿宋" w:eastAsia="仿宋"/>
          <w:sz w:val="32"/>
          <w:szCs w:val="32"/>
          <w:lang w:val="zh-CN"/>
        </w:rPr>
      </w:pPr>
      <w:r>
        <w:rPr>
          <w:rFonts w:hint="eastAsia" w:ascii="楷体_GB2312" w:hAnsi="Calibri" w:eastAsia="楷体_GB2312"/>
          <w:sz w:val="32"/>
          <w:szCs w:val="21"/>
          <w:shd w:val="clear" w:color="auto" w:fill="FFFFFF"/>
          <w:lang w:val="zh-CN"/>
        </w:rPr>
        <w:t>机构职能。</w:t>
      </w:r>
    </w:p>
    <w:p w14:paraId="72472EB0">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1.负责应急管理工作，组织和指导各地、各部门应对安全生产类、自然灾害类等突发事件和综合防灾减灾救灾工作。负责安全生产综合监督管理和工矿商贸安全生产监督管理工作。 </w:t>
      </w:r>
    </w:p>
    <w:p w14:paraId="5735FEB6">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2.拟订应急管理、安全生产等政策措施，组织编制应急体系建设、安全生产和综合防灾减灾规划，拟订相关规范性文件。 </w:t>
      </w:r>
    </w:p>
    <w:p w14:paraId="1A4A2B9E">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3.负责组织、指导应急预案体系建设，建立完善事故、灾难、自然灾害分级应对制度，牵头组织编制综合应急防灾减灾预案和安全生产类、自然灾害类、专项预案，负责应急预案衔接 工作，组织开展预案演练，推动应急避难设施建设。 </w:t>
      </w:r>
    </w:p>
    <w:p w14:paraId="2345BD1D">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4.牵头建立统一的应急管理信息系统，负责信息传输渠道的规划和布局，建立监测预警和灾情报告制度，健全自然灾害信息资源获取和共享机制，依法统一发布灾情。 </w:t>
      </w:r>
    </w:p>
    <w:p w14:paraId="00FF8C86">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5.负责组织、指导、协调安全生产类、自然灾害类等突发事件应急救援的有关工作，承担辖区内应对灾害指挥部工作，综合研判突发事件发展态势并提出应对建议，负责组织灾害应急处置工作。 </w:t>
      </w:r>
    </w:p>
    <w:p w14:paraId="3CF3F4CA">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6.统一协调指挥各类应急专业队伍，建立应急协调联动机制，推进指挥平台对接，提请衔接解放军和武警部队参与应急救援工作。 </w:t>
      </w:r>
    </w:p>
    <w:p w14:paraId="4834E9AC">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7.按照国家相关政策和规定负责消防、抗洪抢险、地震和地质灾害救援、生产安全事故救援等专业应急救援力量建设，依法依规</w:t>
      </w:r>
      <w:bookmarkStart w:id="104" w:name="_GoBack"/>
      <w:bookmarkEnd w:id="104"/>
      <w:r>
        <w:rPr>
          <w:rFonts w:hint="eastAsia" w:ascii="仿宋" w:hAnsi="仿宋" w:eastAsia="仿宋"/>
          <w:sz w:val="32"/>
          <w:szCs w:val="32"/>
          <w:lang w:val="zh-CN"/>
        </w:rPr>
        <w:t xml:space="preserve">统筹指导各地及社会应急救援力量和保障能力建设。 </w:t>
      </w:r>
    </w:p>
    <w:p w14:paraId="33163926">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8.按照上级相关政策和高新区党工委、管委会相关规定负责消防工作，组织和指导消防监督、火灾预防、火灾扑救等工作。 </w:t>
      </w:r>
    </w:p>
    <w:p w14:paraId="0AADEEB8">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9.负责自然灾害综合监督预警工作，承担自然灾害综合风险评估工作，指导协调水旱灾害、地震和地质灾害等防治工作。 </w:t>
      </w:r>
    </w:p>
    <w:p w14:paraId="4E08559D">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10.负责组织、协调灾害救助工作。组织和指导灾情核查、损失评估、救灾捐赠工作，管理、分配中央、省、市下拨及高新区救灾款物并监督使用。 </w:t>
      </w:r>
    </w:p>
    <w:p w14:paraId="426DF0FE">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11.依法承担高新区管委会安全生产综合监督管理责任，指导协调、监督检查高新区有关部门和各乡（镇）人民政府安全生产工作，组织开展安全生产巡查、考核工作。 </w:t>
      </w:r>
    </w:p>
    <w:p w14:paraId="334A81A8">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12.按照分级、属地原则，依法监督检查工矿商贸生产经营单位贯彻执行安全生产法律法规情况及其安全生产条件有关设备（特种设备除外）、材料、劳动防护用品的安全生产管理工作。协助上级应急管理部门做好中央、省、市在高新区辖区内的工矿商贸企业安全生产监督管理工作。 </w:t>
      </w:r>
    </w:p>
    <w:p w14:paraId="1B4C4887">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13.承担煤矿、非煤矿山、危险化学品、非药品类易制毒化学品和烟花爆竹生产经营单位安全生产准入管理责任。负责危险化学品安全监督管理综合工作和烟花爆竹安全生产监督管理工作。 </w:t>
      </w:r>
    </w:p>
    <w:p w14:paraId="62403ABC">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14.依法组织、指导安全生产事故调查处理，监督事故查处和责任追究落实情况。组织开展自然灾害类突发事件的调查评估工作。 </w:t>
      </w:r>
    </w:p>
    <w:p w14:paraId="70027F8C">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15.开展应急管理和安全生产方面的交流与合作，组织参与安全生产类、自然灾害类等突发事件的跨区域救援工作。 </w:t>
      </w:r>
    </w:p>
    <w:p w14:paraId="289E5B34">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16.制定应急物资储备和应急救援装备规划并组织实施，会同有关部门建立健全应急物资信息平台和调拨制度，在救灾时统一调度。 </w:t>
      </w:r>
    </w:p>
    <w:p w14:paraId="23892256">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17.负责应急管理、安全生产宣传教育和培训工作，组织和指导应急管理、安全生产的科学技术研究、推广应用信息化建设工作。 </w:t>
      </w:r>
    </w:p>
    <w:p w14:paraId="57F84C3C">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18.负责职责范围内的职业健康、生态环境保护、审批服务便民化工作。 </w:t>
      </w:r>
    </w:p>
    <w:p w14:paraId="193B6688">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19.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安全风险。二是坚持以人为本，把确保人民群众生命安全放在首位，确保受灾群众基本生活，加强应急预案演练，增强全民防灾减灾意识，提升公众知识普及和自救互救技能，切实减少人民伤亡和财产损失。三是树立安全发展理念，坚持生命至上、安全第 一，完善安全生产责任制，坚决遏制安全事故。 </w:t>
      </w:r>
    </w:p>
    <w:p w14:paraId="015B680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val="zh-CN"/>
        </w:rPr>
        <w:t>20.完成高新区党工委、管委会交办的其他工作。</w:t>
      </w:r>
    </w:p>
    <w:p w14:paraId="6BE1C0C8">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人员概况。</w:t>
      </w:r>
      <w:r>
        <w:rPr>
          <w:rFonts w:hint="eastAsia" w:ascii="Calibri" w:hAnsi="Calibri" w:eastAsia="仿宋_GB2312"/>
          <w:sz w:val="30"/>
          <w:szCs w:val="30"/>
          <w:lang w:val="zh-CN"/>
        </w:rPr>
        <w:t>2019年编制人数为</w:t>
      </w:r>
      <w:r>
        <w:rPr>
          <w:rFonts w:hint="eastAsia" w:ascii="Calibri" w:hAnsi="Calibri" w:eastAsia="仿宋_GB2312"/>
          <w:sz w:val="30"/>
          <w:szCs w:val="30"/>
        </w:rPr>
        <w:t>2</w:t>
      </w:r>
      <w:r>
        <w:rPr>
          <w:rFonts w:hint="eastAsia" w:ascii="Calibri" w:hAnsi="Calibri" w:eastAsia="仿宋_GB2312"/>
          <w:sz w:val="30"/>
          <w:szCs w:val="30"/>
          <w:lang w:val="zh-CN"/>
        </w:rPr>
        <w:t>人，其中行政编制为0人，</w:t>
      </w:r>
      <w:r>
        <w:rPr>
          <w:rFonts w:hint="eastAsia" w:ascii="Calibri" w:hAnsi="Calibri" w:eastAsia="仿宋_GB2312"/>
          <w:sz w:val="30"/>
          <w:szCs w:val="30"/>
        </w:rPr>
        <w:t>参公</w:t>
      </w:r>
      <w:r>
        <w:rPr>
          <w:rFonts w:hint="eastAsia" w:ascii="Calibri" w:hAnsi="Calibri" w:eastAsia="仿宋_GB2312"/>
          <w:sz w:val="30"/>
          <w:szCs w:val="30"/>
          <w:lang w:val="zh-CN"/>
        </w:rPr>
        <w:t>编制为</w:t>
      </w:r>
      <w:r>
        <w:rPr>
          <w:rFonts w:hint="eastAsia" w:ascii="Calibri" w:hAnsi="Calibri" w:eastAsia="仿宋_GB2312"/>
          <w:sz w:val="30"/>
          <w:szCs w:val="30"/>
        </w:rPr>
        <w:t>2</w:t>
      </w:r>
      <w:r>
        <w:rPr>
          <w:rFonts w:hint="eastAsia" w:ascii="Calibri" w:hAnsi="Calibri" w:eastAsia="仿宋_GB2312"/>
          <w:sz w:val="30"/>
          <w:szCs w:val="30"/>
          <w:lang w:val="zh-CN"/>
        </w:rPr>
        <w:t>人。年末实有人数共有</w:t>
      </w:r>
      <w:r>
        <w:rPr>
          <w:rFonts w:hint="eastAsia" w:ascii="Calibri" w:hAnsi="Calibri" w:eastAsia="仿宋_GB2312"/>
          <w:sz w:val="30"/>
          <w:szCs w:val="30"/>
        </w:rPr>
        <w:t>4</w:t>
      </w:r>
      <w:r>
        <w:rPr>
          <w:rFonts w:hint="eastAsia" w:ascii="Calibri" w:hAnsi="Calibri" w:eastAsia="仿宋_GB2312"/>
          <w:sz w:val="30"/>
          <w:szCs w:val="30"/>
          <w:lang w:val="zh-CN"/>
        </w:rPr>
        <w:t>人，实有行政人员为0人，实有</w:t>
      </w:r>
      <w:r>
        <w:rPr>
          <w:rFonts w:hint="eastAsia" w:ascii="Calibri" w:hAnsi="Calibri" w:eastAsia="仿宋_GB2312"/>
          <w:sz w:val="30"/>
          <w:szCs w:val="30"/>
        </w:rPr>
        <w:t>参公</w:t>
      </w:r>
      <w:r>
        <w:rPr>
          <w:rFonts w:hint="eastAsia" w:ascii="Calibri" w:hAnsi="Calibri" w:eastAsia="仿宋_GB2312"/>
          <w:sz w:val="30"/>
          <w:szCs w:val="30"/>
          <w:lang w:val="zh-CN"/>
        </w:rPr>
        <w:t>人员为</w:t>
      </w:r>
      <w:r>
        <w:rPr>
          <w:rFonts w:hint="eastAsia" w:ascii="Calibri" w:hAnsi="Calibri" w:eastAsia="仿宋_GB2312"/>
          <w:sz w:val="30"/>
          <w:szCs w:val="30"/>
        </w:rPr>
        <w:t>2</w:t>
      </w:r>
      <w:r>
        <w:rPr>
          <w:rFonts w:hint="eastAsia" w:ascii="Calibri" w:hAnsi="Calibri" w:eastAsia="仿宋_GB2312"/>
          <w:sz w:val="30"/>
          <w:szCs w:val="30"/>
          <w:lang w:val="zh-CN"/>
        </w:rPr>
        <w:t>人，实有聘用人员</w:t>
      </w:r>
      <w:r>
        <w:rPr>
          <w:rFonts w:hint="eastAsia" w:ascii="Calibri" w:hAnsi="Calibri" w:eastAsia="仿宋_GB2312"/>
          <w:sz w:val="30"/>
          <w:szCs w:val="30"/>
        </w:rPr>
        <w:t>2</w:t>
      </w:r>
      <w:r>
        <w:rPr>
          <w:rFonts w:hint="eastAsia" w:ascii="Calibri" w:hAnsi="Calibri" w:eastAsia="仿宋_GB2312"/>
          <w:sz w:val="30"/>
          <w:szCs w:val="30"/>
          <w:lang w:val="zh-CN"/>
        </w:rPr>
        <w:t>人，</w:t>
      </w:r>
      <w:r>
        <w:rPr>
          <w:rFonts w:hint="eastAsia" w:ascii="Calibri" w:hAnsi="Calibri" w:eastAsia="仿宋_GB2312"/>
          <w:sz w:val="30"/>
          <w:szCs w:val="30"/>
        </w:rPr>
        <w:t>其他</w:t>
      </w:r>
      <w:r>
        <w:rPr>
          <w:rFonts w:hint="eastAsia" w:ascii="Calibri" w:hAnsi="Calibri" w:eastAsia="仿宋_GB2312"/>
          <w:sz w:val="30"/>
          <w:szCs w:val="30"/>
          <w:lang w:val="zh-CN"/>
        </w:rPr>
        <w:t>人员</w:t>
      </w:r>
      <w:r>
        <w:rPr>
          <w:rFonts w:hint="eastAsia" w:ascii="Calibri" w:hAnsi="Calibri" w:eastAsia="仿宋_GB2312"/>
          <w:sz w:val="30"/>
          <w:szCs w:val="30"/>
        </w:rPr>
        <w:t>0</w:t>
      </w:r>
      <w:r>
        <w:rPr>
          <w:rFonts w:hint="eastAsia" w:ascii="Calibri" w:hAnsi="Calibri" w:eastAsia="仿宋_GB2312"/>
          <w:sz w:val="30"/>
          <w:szCs w:val="30"/>
          <w:lang w:val="zh-CN"/>
        </w:rPr>
        <w:t>人。</w:t>
      </w:r>
    </w:p>
    <w:p w14:paraId="3BFDB170">
      <w:pPr>
        <w:topLinePunct/>
        <w:spacing w:line="600" w:lineRule="exact"/>
        <w:outlineLvl w:val="0"/>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二、部门财政资金收支情况</w:t>
      </w:r>
    </w:p>
    <w:p w14:paraId="77E5E4D2">
      <w:pPr>
        <w:numPr>
          <w:ilvl w:val="0"/>
          <w:numId w:val="4"/>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部门财政资金收入情况。</w:t>
      </w:r>
      <w:r>
        <w:rPr>
          <w:rFonts w:hint="eastAsia" w:ascii="仿宋_GB2312" w:hAnsi="Calibri" w:eastAsia="仿宋_GB2312"/>
          <w:sz w:val="30"/>
          <w:szCs w:val="30"/>
          <w:lang w:val="zh-CN"/>
        </w:rPr>
        <w:t>本单位2019年财政总收入</w:t>
      </w:r>
      <w:r>
        <w:rPr>
          <w:rFonts w:hint="eastAsia" w:ascii="仿宋_GB2312" w:hAnsi="Calibri" w:eastAsia="仿宋_GB2312"/>
          <w:sz w:val="30"/>
          <w:szCs w:val="30"/>
        </w:rPr>
        <w:t>117.32万</w:t>
      </w:r>
      <w:r>
        <w:rPr>
          <w:rFonts w:hint="eastAsia" w:ascii="仿宋_GB2312" w:hAnsi="Calibri" w:eastAsia="仿宋_GB2312"/>
          <w:sz w:val="30"/>
          <w:szCs w:val="30"/>
          <w:lang w:val="zh-CN"/>
        </w:rPr>
        <w:t>元，其中财政拨款收入</w:t>
      </w:r>
      <w:r>
        <w:rPr>
          <w:rFonts w:hint="eastAsia" w:ascii="仿宋_GB2312" w:hAnsi="Calibri" w:eastAsia="仿宋_GB2312"/>
          <w:sz w:val="30"/>
          <w:szCs w:val="30"/>
        </w:rPr>
        <w:t>117.32万</w:t>
      </w:r>
      <w:r>
        <w:rPr>
          <w:rFonts w:hint="eastAsia" w:ascii="仿宋_GB2312" w:hAnsi="Calibri" w:eastAsia="仿宋_GB2312"/>
          <w:sz w:val="30"/>
          <w:szCs w:val="30"/>
          <w:lang w:val="zh-CN"/>
        </w:rPr>
        <w:t>元，</w:t>
      </w:r>
      <w:r>
        <w:rPr>
          <w:rFonts w:hint="eastAsia" w:ascii="仿宋_GB2312" w:hAnsi="Calibri" w:eastAsia="仿宋_GB2312"/>
          <w:sz w:val="30"/>
          <w:szCs w:val="30"/>
        </w:rPr>
        <w:t>占比100.00%。</w:t>
      </w:r>
    </w:p>
    <w:p w14:paraId="610D3197">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部门财政资金支出情况。</w:t>
      </w:r>
      <w:r>
        <w:rPr>
          <w:rFonts w:hint="eastAsia" w:ascii="仿宋_GB2312" w:hAnsi="Calibri" w:eastAsia="仿宋_GB2312"/>
          <w:sz w:val="30"/>
          <w:szCs w:val="30"/>
          <w:lang w:val="zh-CN"/>
        </w:rPr>
        <w:t>本单位2019年总支出</w:t>
      </w:r>
      <w:r>
        <w:rPr>
          <w:rFonts w:hint="eastAsia" w:ascii="仿宋_GB2312" w:hAnsi="Calibri" w:eastAsia="仿宋_GB2312"/>
          <w:sz w:val="30"/>
          <w:szCs w:val="30"/>
        </w:rPr>
        <w:t>67.32万</w:t>
      </w:r>
      <w:r>
        <w:rPr>
          <w:rFonts w:hint="eastAsia" w:ascii="仿宋_GB2312" w:hAnsi="Calibri" w:eastAsia="仿宋_GB2312"/>
          <w:sz w:val="30"/>
          <w:szCs w:val="30"/>
          <w:lang w:val="zh-CN"/>
        </w:rPr>
        <w:t>元，其中商品和服务支出</w:t>
      </w:r>
      <w:r>
        <w:rPr>
          <w:rFonts w:hint="eastAsia" w:ascii="仿宋_GB2312" w:hAnsi="Calibri" w:eastAsia="仿宋_GB2312"/>
          <w:sz w:val="30"/>
          <w:szCs w:val="30"/>
        </w:rPr>
        <w:t>15.47万</w:t>
      </w:r>
      <w:r>
        <w:rPr>
          <w:rFonts w:hint="eastAsia" w:ascii="仿宋_GB2312" w:hAnsi="Calibri" w:eastAsia="仿宋_GB2312"/>
          <w:sz w:val="30"/>
          <w:szCs w:val="30"/>
          <w:lang w:val="zh-CN"/>
        </w:rPr>
        <w:t>元，</w:t>
      </w:r>
      <w:r>
        <w:rPr>
          <w:rFonts w:hint="eastAsia" w:ascii="仿宋_GB2312" w:hAnsi="Calibri" w:eastAsia="仿宋_GB2312"/>
          <w:sz w:val="30"/>
          <w:szCs w:val="30"/>
        </w:rPr>
        <w:t>占比22.98%。</w:t>
      </w:r>
    </w:p>
    <w:p w14:paraId="105D7AE6">
      <w:pPr>
        <w:spacing w:line="600" w:lineRule="exact"/>
        <w:outlineLvl w:val="1"/>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三、部门财政支出管理情况</w:t>
      </w:r>
    </w:p>
    <w:p w14:paraId="2EF2C9CB">
      <w:pPr>
        <w:numPr>
          <w:ilvl w:val="0"/>
          <w:numId w:val="5"/>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预决算编制情况。</w:t>
      </w:r>
    </w:p>
    <w:p w14:paraId="158187F0">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本单位严格根据国家有关方针、政策，按照上级下达的事业计划、任务，本着收支平衡的原则，编制预算。</w:t>
      </w:r>
    </w:p>
    <w:p w14:paraId="27339A12">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2F3424E5">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本单位在预决算编制过程中全面实行项目及总体绩效评价目标</w:t>
      </w:r>
    </w:p>
    <w:p w14:paraId="0068ED60">
      <w:p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填报。</w:t>
      </w:r>
    </w:p>
    <w:p w14:paraId="3A8E496D">
      <w:pPr>
        <w:numPr>
          <w:ilvl w:val="0"/>
          <w:numId w:val="5"/>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执行管理情况</w:t>
      </w:r>
    </w:p>
    <w:p w14:paraId="488AD979">
      <w:pPr>
        <w:numPr>
          <w:ilvl w:val="1"/>
          <w:numId w:val="5"/>
        </w:numPr>
        <w:spacing w:line="600" w:lineRule="exact"/>
        <w:outlineLvl w:val="1"/>
        <w:rPr>
          <w:rFonts w:ascii="仿宋_GB2312" w:hAnsi="仿宋" w:eastAsia="仿宋_GB2312"/>
          <w:sz w:val="30"/>
          <w:szCs w:val="30"/>
        </w:rPr>
      </w:pPr>
      <w:r>
        <w:rPr>
          <w:rFonts w:hint="eastAsia" w:ascii="仿宋_GB2312" w:hAnsi="仿宋" w:eastAsia="仿宋_GB2312"/>
          <w:sz w:val="30"/>
          <w:szCs w:val="30"/>
        </w:rPr>
        <w:t>本单位严格按照预决算管理制度执行，依法依规及时分配上级专项资金，专项资金使用完成情况100%。</w:t>
      </w:r>
    </w:p>
    <w:p w14:paraId="5DD33638">
      <w:pPr>
        <w:numPr>
          <w:ilvl w:val="1"/>
          <w:numId w:val="5"/>
        </w:numPr>
        <w:spacing w:line="600" w:lineRule="exact"/>
        <w:outlineLvl w:val="1"/>
        <w:rPr>
          <w:rFonts w:ascii="仿宋_GB2312" w:hAnsi="仿宋" w:eastAsia="仿宋_GB2312"/>
          <w:sz w:val="30"/>
          <w:szCs w:val="30"/>
        </w:rPr>
      </w:pPr>
      <w:r>
        <w:rPr>
          <w:rFonts w:hint="eastAsia" w:ascii="仿宋_GB2312" w:hAnsi="仿宋" w:eastAsia="仿宋_GB2312"/>
          <w:sz w:val="30"/>
          <w:szCs w:val="30"/>
        </w:rPr>
        <w:t>严格按照“中央八项规定”等政策文件的规定开展日常工作。</w:t>
      </w:r>
    </w:p>
    <w:p w14:paraId="7552D6B3">
      <w:pPr>
        <w:numPr>
          <w:ilvl w:val="0"/>
          <w:numId w:val="5"/>
        </w:numPr>
        <w:spacing w:line="600" w:lineRule="exact"/>
        <w:outlineLvl w:val="1"/>
        <w:rPr>
          <w:rFonts w:ascii="仿宋_GB2312" w:hAnsi="Calibri" w:eastAsia="楷体_GB2312"/>
          <w:sz w:val="30"/>
          <w:szCs w:val="30"/>
          <w:lang w:val="zh-CN"/>
        </w:rPr>
      </w:pPr>
      <w:r>
        <w:rPr>
          <w:rFonts w:hint="eastAsia" w:ascii="仿宋_GB2312" w:hAnsi="Calibri" w:eastAsia="楷体_GB2312"/>
          <w:sz w:val="30"/>
          <w:szCs w:val="30"/>
          <w:lang w:val="zh-CN"/>
        </w:rPr>
        <w:t>综合管理情况</w:t>
      </w:r>
    </w:p>
    <w:p w14:paraId="39CFF5CA">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严格按照政府采购相关制度要求，事前编制采购预算，事中编制采购计划，严控采购流程和招投标工作。</w:t>
      </w:r>
    </w:p>
    <w:p w14:paraId="4689C7D9">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7C182CAA">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本单位内部建立专门的管理制度规范内部控制工作的开展，包括岗位人员责任岗位分离制度、收入支出管理制度、财务档案管理、票据管理、财务印章管理、专项资金管理制度办法等。</w:t>
      </w:r>
    </w:p>
    <w:p w14:paraId="7349FE8F">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本单位严格执行预决算公开制度。</w:t>
      </w:r>
    </w:p>
    <w:p w14:paraId="7F237B94">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本单位在预决算编制过程中全面实行项目及总体绩效评价目标填报及按要求报送绩效自评报告。</w:t>
      </w:r>
    </w:p>
    <w:p w14:paraId="38BA466A">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本单位全面接受财政监督检查，在2019年的各项检查中无违规违纪现象。</w:t>
      </w:r>
    </w:p>
    <w:p w14:paraId="7C31E73F">
      <w:pPr>
        <w:numPr>
          <w:ilvl w:val="0"/>
          <w:numId w:val="5"/>
        </w:numPr>
        <w:spacing w:line="600" w:lineRule="exact"/>
        <w:outlineLvl w:val="1"/>
        <w:rPr>
          <w:rFonts w:ascii="楷体_GB2312" w:hAnsi="Calibri" w:eastAsia="楷体_GB2312"/>
          <w:sz w:val="32"/>
          <w:szCs w:val="21"/>
          <w:lang w:val="zh-CN"/>
        </w:rPr>
      </w:pPr>
      <w:r>
        <w:rPr>
          <w:rFonts w:hint="eastAsia" w:ascii="仿宋_GB2312" w:hAnsi="Calibri" w:eastAsia="楷体_GB2312"/>
          <w:sz w:val="30"/>
          <w:szCs w:val="30"/>
          <w:lang w:val="zh-CN"/>
        </w:rPr>
        <w:t>整体绩效。</w:t>
      </w:r>
    </w:p>
    <w:p w14:paraId="4CFB1187">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2019年，我分局在高新区党工委、管委会的正确指导下，坚持“严起来、紧起来、快起来”的工作导向，积极适应新形势新要求，奋力推进各项工作。</w:t>
      </w:r>
    </w:p>
    <w:p w14:paraId="1757342D">
      <w:pPr>
        <w:ind w:firstLine="900" w:firstLineChars="300"/>
        <w:rPr>
          <w:rFonts w:ascii="仿宋_GB2312" w:eastAsia="仿宋_GB2312"/>
          <w:sz w:val="30"/>
          <w:szCs w:val="30"/>
        </w:rPr>
      </w:pPr>
      <w:r>
        <w:rPr>
          <w:rFonts w:ascii="仿宋_GB2312" w:eastAsia="仿宋_GB2312"/>
          <w:sz w:val="30"/>
          <w:szCs w:val="30"/>
        </w:rPr>
        <w:t>一、坚持党政领导亲自抓，强化责任落实。一是充分发挥牵头抓总作用。党工委、管委会始终坚持安全生产基本盘不动摇底线，不折不扣贯彻中央、省、市有关安全生产工作决策部署。先后召开党工委会6次、主任会7次、专题会7次、全区性安全生产工作会7次来学习贯彻落实上级有关安全生产工作决策部署。二是顺应机构调整，及时完善新机构的配套机制。及时调整了区安委会成员单位及组成人员，构建了应急委“1+17”工作机制，制定出台了《乐山高新区党政领导干部安全生产责任制实施办法》等40个规范性或操作性文件。首次建立了13名行业领域专家组成的高新区安全生产专家库。修订完善了高新区2019年生产安全事故应急预案、抗震救灾应急预案等17个预案。三是发挥“头雁效应”，推动形成安全生产齐抓共管的氛围。在今年“春节”、“两会”、“五一”期间，市领导廖磊、廖克全，党工委、管委会主要领导广兵、谭春秋深入意凡家世界、尚纬股份、铁源气体、洛都寺等企业和乡镇开展安全生产调研指导。此外，分管委领导和其他委领导也定期或不定期带队深入两镇、企业督查督导安全生产工作，层层传导安全压力 。</w:t>
      </w:r>
    </w:p>
    <w:p w14:paraId="6186461B">
      <w:pPr>
        <w:ind w:firstLine="900" w:firstLineChars="300"/>
        <w:rPr>
          <w:rFonts w:ascii="仿宋_GB2312" w:eastAsia="仿宋_GB2312"/>
          <w:sz w:val="30"/>
          <w:szCs w:val="30"/>
        </w:rPr>
      </w:pPr>
      <w:r>
        <w:rPr>
          <w:rFonts w:ascii="仿宋_GB2312" w:eastAsia="仿宋_GB2312"/>
          <w:sz w:val="30"/>
          <w:szCs w:val="30"/>
        </w:rPr>
        <w:t>二、坚持敏感节点不松懈，强化风险管控力度。紧绷“过节关”，在“春节”、“两会”、“清明”、“端午”、“汛期”、“中秋”等重要节点，我局都要提前谋划、周密部署，牵头组织两镇及有关部门对人员密集公共场所、易燃易爆场所、劳动密集型企业、交通要道等开展节前、节中、节后安全大检查，做好抓小、堵漏、防细措施，确保安全生产、平安度假。</w:t>
      </w:r>
    </w:p>
    <w:p w14:paraId="107B4AFB">
      <w:pPr>
        <w:ind w:firstLine="900" w:firstLineChars="300"/>
        <w:rPr>
          <w:rFonts w:ascii="仿宋_GB2312" w:eastAsia="仿宋_GB2312"/>
          <w:sz w:val="30"/>
          <w:szCs w:val="30"/>
        </w:rPr>
      </w:pPr>
      <w:r>
        <w:rPr>
          <w:rFonts w:ascii="仿宋_GB2312" w:eastAsia="仿宋_GB2312"/>
          <w:sz w:val="30"/>
          <w:szCs w:val="30"/>
        </w:rPr>
        <w:t>三、坚持以问题为导向，强化重点领域专项整治。以“安全生产大检查和七大专项整治行动、安全隐患‘ 清零’行动、‘五一'节前安全大检查”为抓手，对全区工贸企业、危险化学品企业、烟花爆竹经营单位、学校、医院、商场、在建工地、地质灾害隐患点等场所开展全方位、全覆盖、拉网式的安全大检查、大排查，及时消除安全隐患。全年共检查场所1062家，发现安全隐患985处，现场整改965处，限期整改20处，责令三停9家，临时查封9家，罚款9.935万元。</w:t>
      </w:r>
    </w:p>
    <w:p w14:paraId="664DF3A1">
      <w:pPr>
        <w:numPr>
          <w:ilvl w:val="0"/>
          <w:numId w:val="6"/>
        </w:numPr>
        <w:topLinePunct/>
        <w:spacing w:line="600" w:lineRule="exact"/>
        <w:outlineLvl w:val="0"/>
        <w:rPr>
          <w:rFonts w:ascii="黑体" w:hAnsi="Calibri" w:eastAsia="黑体"/>
          <w:sz w:val="32"/>
          <w:szCs w:val="32"/>
          <w:shd w:val="clear" w:color="auto" w:fill="FFFFFF"/>
        </w:rPr>
      </w:pPr>
      <w:r>
        <w:rPr>
          <w:rFonts w:hint="eastAsia" w:ascii="黑体" w:hAnsi="Calibri" w:eastAsia="黑体"/>
          <w:sz w:val="32"/>
          <w:szCs w:val="32"/>
          <w:shd w:val="clear" w:color="auto" w:fill="FFFFFF"/>
        </w:rPr>
        <w:t>评价结论及建议</w:t>
      </w:r>
    </w:p>
    <w:p w14:paraId="469913B1">
      <w:pPr>
        <w:numPr>
          <w:ilvl w:val="0"/>
          <w:numId w:val="7"/>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评价结论。</w:t>
      </w:r>
    </w:p>
    <w:p w14:paraId="6FE6F540">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本单位履行职责职能,严格按预算法及高新区管委会的要求编制预决算、按财经法规及制度使用、管理资金,成效明显,主要体现在以下几个方面：</w:t>
      </w:r>
    </w:p>
    <w:p w14:paraId="1B5269B8">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1.资金使用效益合理有效，保障了财政供养人员的日常开支，资金使用无虚列支出及随意使用现象,无大额现金支付现象。</w:t>
      </w:r>
    </w:p>
    <w:p w14:paraId="27241571">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2.资金使用社会效益好。</w:t>
      </w:r>
    </w:p>
    <w:p w14:paraId="5FDCD48B">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3.根据财政整体支出绩效评价的内容要求，本单位的自查结果为“良”。</w:t>
      </w:r>
    </w:p>
    <w:p w14:paraId="2B565902">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存在问题。</w:t>
      </w:r>
    </w:p>
    <w:p w14:paraId="355A983D">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本部门收入支出预决算差异过大，未能准确编制预算，预算编制精细化称度有待提高。</w:t>
      </w:r>
    </w:p>
    <w:p w14:paraId="33145A9F">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改进建议。</w:t>
      </w:r>
    </w:p>
    <w:p w14:paraId="40017992">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在今后的工作一方面要严格预算编制，做到细化精确，另一方面按照“统筹兼顾、勤俭节约、量力而行、讲求绩效、收支平衡”的原则，根据项目实施进度和实际需求安排预算。</w:t>
      </w:r>
    </w:p>
    <w:p w14:paraId="0458F896">
      <w:pPr>
        <w:topLinePunct/>
        <w:spacing w:line="600" w:lineRule="exact"/>
        <w:ind w:firstLine="600" w:firstLineChars="200"/>
        <w:rPr>
          <w:rFonts w:ascii="仿宋_GB2312" w:hAnsi="仿宋" w:eastAsia="仿宋_GB2312"/>
          <w:sz w:val="30"/>
          <w:szCs w:val="30"/>
        </w:rPr>
      </w:pPr>
    </w:p>
    <w:p w14:paraId="0BFA1496">
      <w:pPr>
        <w:pStyle w:val="2"/>
        <w:jc w:val="center"/>
        <w:rPr>
          <w:rFonts w:ascii="黑体" w:hAnsi="黑体" w:eastAsia="黑体" w:cs="黑体"/>
          <w:b w:val="0"/>
          <w:bCs w:val="0"/>
        </w:rPr>
      </w:pPr>
      <w:r>
        <w:rPr>
          <w:rFonts w:hint="eastAsia" w:ascii="黑体" w:hAnsi="黑体" w:eastAsia="黑体" w:cs="黑体"/>
          <w:b w:val="0"/>
          <w:bCs w:val="0"/>
        </w:rPr>
        <w:t>第五部分 附表</w:t>
      </w:r>
      <w:bookmarkEnd w:id="76"/>
      <w:bookmarkEnd w:id="80"/>
      <w:bookmarkEnd w:id="81"/>
    </w:p>
    <w:p w14:paraId="1C462B2F">
      <w:pPr>
        <w:pStyle w:val="3"/>
        <w:rPr>
          <w:rFonts w:ascii="仿宋" w:hAnsi="仿宋" w:eastAsia="仿宋"/>
          <w:color w:val="000000"/>
        </w:rPr>
      </w:pPr>
      <w:bookmarkStart w:id="82" w:name="_Toc15396619"/>
      <w:bookmarkStart w:id="83" w:name="_Toc22175"/>
      <w:r>
        <w:rPr>
          <w:rFonts w:hint="eastAsia" w:ascii="仿宋" w:hAnsi="仿宋" w:eastAsia="仿宋"/>
          <w:b w:val="0"/>
          <w:color w:val="000000"/>
        </w:rPr>
        <w:t>一、收</w:t>
      </w:r>
      <w:r>
        <w:rPr>
          <w:rStyle w:val="25"/>
          <w:rFonts w:hint="eastAsia" w:ascii="仿宋" w:hAnsi="仿宋" w:eastAsia="仿宋"/>
          <w:b w:val="0"/>
          <w:bCs w:val="0"/>
        </w:rPr>
        <w:t>入支出决算总表</w:t>
      </w:r>
      <w:bookmarkEnd w:id="82"/>
      <w:bookmarkEnd w:id="83"/>
    </w:p>
    <w:p w14:paraId="03B48C7B">
      <w:pPr>
        <w:pStyle w:val="3"/>
        <w:rPr>
          <w:rFonts w:ascii="仿宋" w:hAnsi="仿宋" w:eastAsia="仿宋"/>
          <w:color w:val="000000"/>
        </w:rPr>
      </w:pPr>
      <w:bookmarkStart w:id="84" w:name="_Toc31697"/>
      <w:bookmarkStart w:id="85"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84"/>
      <w:bookmarkEnd w:id="85"/>
    </w:p>
    <w:p w14:paraId="1E68DDE5">
      <w:pPr>
        <w:pStyle w:val="3"/>
        <w:rPr>
          <w:rFonts w:ascii="仿宋" w:hAnsi="仿宋" w:eastAsia="仿宋"/>
          <w:color w:val="000000"/>
        </w:rPr>
      </w:pPr>
      <w:bookmarkStart w:id="86" w:name="_Toc15396621"/>
      <w:bookmarkStart w:id="87" w:name="_Toc8923"/>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6"/>
      <w:bookmarkEnd w:id="87"/>
    </w:p>
    <w:p w14:paraId="71B7ACE5">
      <w:pPr>
        <w:pStyle w:val="3"/>
        <w:rPr>
          <w:rFonts w:ascii="仿宋" w:hAnsi="仿宋" w:eastAsia="仿宋"/>
          <w:b w:val="0"/>
          <w:color w:val="000000"/>
        </w:rPr>
      </w:pPr>
      <w:bookmarkStart w:id="88" w:name="_Toc15396622"/>
      <w:bookmarkStart w:id="89" w:name="_Toc15054"/>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88"/>
      <w:bookmarkEnd w:id="89"/>
    </w:p>
    <w:p w14:paraId="621ED67E">
      <w:pPr>
        <w:pStyle w:val="3"/>
        <w:rPr>
          <w:rStyle w:val="25"/>
          <w:rFonts w:ascii="仿宋" w:hAnsi="仿宋" w:eastAsia="仿宋"/>
          <w:b w:val="0"/>
          <w:bCs w:val="0"/>
        </w:rPr>
      </w:pPr>
      <w:bookmarkStart w:id="90" w:name="_Toc15396623"/>
      <w:bookmarkStart w:id="91" w:name="_Toc6384"/>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90"/>
      <w:bookmarkEnd w:id="91"/>
      <w:bookmarkStart w:id="92" w:name="_Toc15396624"/>
    </w:p>
    <w:p w14:paraId="250F78E5">
      <w:pPr>
        <w:pStyle w:val="3"/>
        <w:rPr>
          <w:rFonts w:ascii="仿宋" w:hAnsi="仿宋" w:eastAsia="仿宋"/>
          <w:color w:val="000000"/>
        </w:rPr>
      </w:pPr>
      <w:bookmarkStart w:id="93" w:name="_Toc2586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92"/>
      <w:bookmarkEnd w:id="93"/>
    </w:p>
    <w:p w14:paraId="35799FF3">
      <w:pPr>
        <w:pStyle w:val="3"/>
        <w:rPr>
          <w:rFonts w:ascii="仿宋" w:hAnsi="仿宋" w:eastAsia="仿宋"/>
          <w:color w:val="000000"/>
        </w:rPr>
      </w:pPr>
      <w:bookmarkStart w:id="94" w:name="_Toc1013"/>
      <w:bookmarkStart w:id="9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4"/>
      <w:bookmarkEnd w:id="95"/>
    </w:p>
    <w:p w14:paraId="2FC0D95E">
      <w:pPr>
        <w:pStyle w:val="3"/>
        <w:rPr>
          <w:rFonts w:ascii="仿宋" w:hAnsi="仿宋" w:eastAsia="仿宋"/>
          <w:color w:val="000000"/>
        </w:rPr>
      </w:pPr>
      <w:bookmarkStart w:id="96" w:name="_Toc14716"/>
      <w:bookmarkStart w:id="9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6"/>
      <w:bookmarkEnd w:id="97"/>
    </w:p>
    <w:p w14:paraId="1488D551">
      <w:pPr>
        <w:pStyle w:val="3"/>
        <w:rPr>
          <w:rFonts w:ascii="仿宋" w:hAnsi="仿宋" w:eastAsia="仿宋"/>
          <w:color w:val="000000"/>
        </w:rPr>
      </w:pPr>
      <w:bookmarkStart w:id="98" w:name="_Toc20015"/>
      <w:bookmarkStart w:id="9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98"/>
      <w:bookmarkEnd w:id="99"/>
    </w:p>
    <w:p w14:paraId="7CE365F4">
      <w:pPr>
        <w:pStyle w:val="3"/>
        <w:rPr>
          <w:rFonts w:ascii="仿宋" w:hAnsi="仿宋" w:eastAsia="仿宋"/>
          <w:color w:val="000000"/>
        </w:rPr>
      </w:pPr>
      <w:bookmarkStart w:id="100" w:name="_Toc27566"/>
      <w:bookmarkStart w:id="10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00"/>
      <w:bookmarkEnd w:id="101"/>
    </w:p>
    <w:p w14:paraId="55D5CEC6">
      <w:pPr>
        <w:pStyle w:val="3"/>
        <w:rPr>
          <w:rFonts w:ascii="仿宋" w:hAnsi="仿宋" w:eastAsia="仿宋"/>
          <w:color w:val="000000"/>
        </w:rPr>
      </w:pPr>
      <w:bookmarkStart w:id="102" w:name="_Toc15396629"/>
      <w:bookmarkStart w:id="103" w:name="_Toc19993"/>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02"/>
      <w:bookmarkEnd w:id="103"/>
    </w:p>
    <w:p w14:paraId="531CE64D">
      <w:pPr>
        <w:pStyle w:val="3"/>
        <w:rPr>
          <w:rStyle w:val="25"/>
          <w:rFonts w:ascii="仿宋" w:hAnsi="仿宋" w:eastAsia="仿宋"/>
          <w:b w:val="0"/>
          <w:bCs w:val="0"/>
        </w:rPr>
      </w:pPr>
      <w:r>
        <w:rPr>
          <w:rStyle w:val="25"/>
          <w:rFonts w:hint="eastAsia" w:ascii="仿宋" w:hAnsi="仿宋" w:eastAsia="仿宋"/>
          <w:b w:val="0"/>
          <w:bCs w:val="0"/>
        </w:rPr>
        <w:t>十二、政府性基金预算财政拨款“三公”经费支出决算表</w:t>
      </w:r>
    </w:p>
    <w:p w14:paraId="51B082AB">
      <w:pPr>
        <w:pStyle w:val="3"/>
        <w:rPr>
          <w:rStyle w:val="25"/>
          <w:rFonts w:ascii="仿宋" w:hAnsi="仿宋" w:eastAsia="仿宋"/>
          <w:b w:val="0"/>
          <w:bCs w:val="0"/>
        </w:rPr>
      </w:pPr>
      <w:r>
        <w:rPr>
          <w:rStyle w:val="25"/>
          <w:rFonts w:hint="eastAsia" w:ascii="仿宋" w:hAnsi="仿宋" w:eastAsia="仿宋"/>
          <w:b w:val="0"/>
          <w:bCs w:val="0"/>
        </w:rPr>
        <w:t>十三、国有资本经营预算支出出决算表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7D6D0FD">
        <w:pPr>
          <w:pStyle w:val="8"/>
          <w:jc w:val="center"/>
        </w:pPr>
        <w:r>
          <w:fldChar w:fldCharType="begin"/>
        </w:r>
        <w:r>
          <w:instrText xml:space="preserve">PAGE   \* MERGEFORMAT</w:instrText>
        </w:r>
        <w:r>
          <w:fldChar w:fldCharType="separate"/>
        </w:r>
        <w:r>
          <w:rPr>
            <w:lang w:val="zh-CN"/>
          </w:rPr>
          <w:t>2</w:t>
        </w:r>
        <w:r>
          <w:fldChar w:fldCharType="end"/>
        </w:r>
      </w:p>
    </w:sdtContent>
  </w:sdt>
  <w:p w14:paraId="2B1B01A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944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E55BF3"/>
    <w:multiLevelType w:val="multilevel"/>
    <w:tmpl w:val="7EE55BF3"/>
    <w:lvl w:ilvl="0" w:tentative="0">
      <w:start w:val="1"/>
      <w:numFmt w:val="chineseCountingThousand"/>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3"/>
  </w:num>
  <w:num w:numId="4">
    <w:abstractNumId w:val="3"/>
    <w:lvlOverride w:ilvl="0">
      <w:startOverride w:val="1"/>
    </w:lvlOverride>
  </w:num>
  <w:num w:numId="5">
    <w:abstractNumId w:val="3"/>
    <w:lvlOverride w:ilvl="0">
      <w:startOverride w:val="1"/>
    </w:lvlOverride>
  </w:num>
  <w:num w:numId="6">
    <w:abstractNumId w:val="2"/>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DZjMjBjMDIzNGYyNTI3NDRlYTIwZTE0N2M4Yz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057"/>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7225"/>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31C9"/>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E0"/>
    <w:rsid w:val="06A131D5"/>
    <w:rsid w:val="07B8534F"/>
    <w:rsid w:val="09591D25"/>
    <w:rsid w:val="0B9A38EF"/>
    <w:rsid w:val="0FA06C52"/>
    <w:rsid w:val="102768D1"/>
    <w:rsid w:val="10C055FF"/>
    <w:rsid w:val="16BB723D"/>
    <w:rsid w:val="16F119F2"/>
    <w:rsid w:val="1B3F5922"/>
    <w:rsid w:val="1D692A71"/>
    <w:rsid w:val="1E526000"/>
    <w:rsid w:val="240371BF"/>
    <w:rsid w:val="258E59B4"/>
    <w:rsid w:val="298A5572"/>
    <w:rsid w:val="29FD04D3"/>
    <w:rsid w:val="319F7F4E"/>
    <w:rsid w:val="37E54D5F"/>
    <w:rsid w:val="3E103E05"/>
    <w:rsid w:val="3E3F289E"/>
    <w:rsid w:val="406E4BD8"/>
    <w:rsid w:val="49242078"/>
    <w:rsid w:val="4B0778F3"/>
    <w:rsid w:val="4ECE2238"/>
    <w:rsid w:val="576E673B"/>
    <w:rsid w:val="58501E2D"/>
    <w:rsid w:val="58D11E3B"/>
    <w:rsid w:val="5EA76563"/>
    <w:rsid w:val="66897EC2"/>
    <w:rsid w:val="69772D85"/>
    <w:rsid w:val="69AD7EC4"/>
    <w:rsid w:val="6C9B3E9A"/>
    <w:rsid w:val="6CE56CAD"/>
    <w:rsid w:val="6ED72E76"/>
    <w:rsid w:val="72734D90"/>
    <w:rsid w:val="75941D63"/>
    <w:rsid w:val="7BD77A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117.32</c:v>
                </c:pt>
                <c:pt idx="1">
                  <c:v>67.32</c:v>
                </c:pt>
              </c:numCache>
            </c:numRef>
          </c:val>
        </c:ser>
        <c:dLbls>
          <c:showLegendKey val="0"/>
          <c:showVal val="1"/>
          <c:showCatName val="0"/>
          <c:showSerName val="0"/>
          <c:showPercent val="0"/>
          <c:showBubbleSize val="0"/>
        </c:dLbls>
        <c:gapWidth val="219"/>
        <c:overlap val="-27"/>
        <c:axId val="170912768"/>
        <c:axId val="170935040"/>
      </c:barChart>
      <c:catAx>
        <c:axId val="170912768"/>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0935040"/>
        <c:crosses val="autoZero"/>
        <c:auto val="1"/>
        <c:lblAlgn val="ctr"/>
        <c:lblOffset val="100"/>
        <c:noMultiLvlLbl val="0"/>
      </c:catAx>
      <c:valAx>
        <c:axId val="170935040"/>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09127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solidFill>
              <a:ln w="25400" cap="rnd">
                <a:noFill/>
                <a:prstDash val="solid"/>
                <a:round/>
              </a:ln>
              <a:effectLst/>
            </c:spPr>
          </c:dPt>
          <c:dPt>
            <c:idx val="5"/>
            <c:bubble3D val="0"/>
            <c:spPr>
              <a:solidFill>
                <a:srgbClr val="9BBB59">
                  <a:lumMod val="5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Pt>
            <c:idx val="8"/>
            <c:bubble3D val="0"/>
            <c:spPr>
              <a:solidFill>
                <a:srgbClr val="113251"/>
              </a:solidFill>
              <a:ln w="25400" cap="rnd">
                <a:noFill/>
                <a:prstDash val="solid"/>
                <a:round/>
              </a:ln>
              <a:effectLst/>
            </c:spPr>
          </c:dPt>
          <c:dPt>
            <c:idx val="9"/>
            <c:bubble3D val="0"/>
            <c:spPr>
              <a:solidFill>
                <a:srgbClr val="113251"/>
              </a:solidFill>
              <a:ln w="25400" cap="rnd">
                <a:noFill/>
                <a:prstDash val="solid"/>
                <a:round/>
              </a:ln>
              <a:effectLst/>
            </c:spPr>
          </c:dPt>
          <c:dPt>
            <c:idx val="10"/>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Sheet1!$B$2:$B$12</c:f>
              <c:numCache>
                <c:formatCode>General</c:formatCode>
                <c:ptCount val="11"/>
                <c:pt idx="0">
                  <c:v>117.32</c:v>
                </c:pt>
                <c:pt idx="1">
                  <c:v>0</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egendEntry>
        <c:idx val="8"/>
        <c:delete val="1"/>
      </c:legendEntry>
      <c:legendEntry>
        <c:idx val="9"/>
        <c:delete val="1"/>
      </c:legendEntry>
      <c:legendEntry>
        <c:idx val="1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1F497D">
                  <a:lumMod val="60000"/>
                  <a:lumOff val="40000"/>
                </a:srgbClr>
              </a:solidFill>
              <a:ln w="25400" cap="rnd">
                <a:noFill/>
                <a:prstDash val="solid"/>
                <a:round/>
              </a:ln>
              <a:effectLst/>
            </c:spPr>
          </c:dPt>
          <c:dPt>
            <c:idx val="5"/>
            <c:bubble3D val="0"/>
            <c:spPr>
              <a:solidFill>
                <a:srgbClr val="113251"/>
              </a:solidFill>
              <a:ln w="25400" cap="rnd">
                <a:noFill/>
                <a:prstDash val="solid"/>
                <a:round/>
              </a:ln>
              <a:effectLst/>
            </c:spPr>
          </c:dPt>
          <c:dPt>
            <c:idx val="6"/>
            <c:bubble3D val="0"/>
            <c:spPr>
              <a:solidFill>
                <a:srgbClr val="113251"/>
              </a:solidFill>
              <a:ln w="25400" cap="rnd">
                <a:noFill/>
                <a:prstDash val="solid"/>
                <a:round/>
              </a:ln>
              <a:effectLst/>
            </c:spPr>
          </c:dPt>
          <c:dPt>
            <c:idx val="7"/>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Sheet1!$B$2:$B$9</c:f>
              <c:numCache>
                <c:formatCode>General</c:formatCode>
                <c:ptCount val="8"/>
                <c:pt idx="0">
                  <c:v>38.83</c:v>
                </c:pt>
                <c:pt idx="1">
                  <c:v>28.49</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5"/>
        <c:delete val="1"/>
      </c:legendEntry>
      <c:legendEntry>
        <c:idx val="6"/>
        <c:delete val="1"/>
      </c:legendEntry>
      <c:legendEntry>
        <c:idx val="7"/>
        <c:delete val="1"/>
      </c:legendEntry>
      <c:layout>
        <c:manualLayout>
          <c:xMode val="edge"/>
          <c:yMode val="edge"/>
          <c:x val="0.189333992746456"/>
          <c:y val="0.7992824773413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0</c:v>
                </c:pt>
                <c:pt idx="1">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117.32</c:v>
                </c:pt>
                <c:pt idx="1">
                  <c:v>67.32</c:v>
                </c:pt>
              </c:numCache>
            </c:numRef>
          </c:val>
        </c:ser>
        <c:dLbls>
          <c:showLegendKey val="0"/>
          <c:showVal val="1"/>
          <c:showCatName val="0"/>
          <c:showSerName val="0"/>
          <c:showPercent val="0"/>
          <c:showBubbleSize val="0"/>
        </c:dLbls>
        <c:gapWidth val="219"/>
        <c:overlap val="-27"/>
        <c:axId val="171334656"/>
        <c:axId val="171352832"/>
      </c:barChart>
      <c:catAx>
        <c:axId val="17133465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352832"/>
        <c:crosses val="autoZero"/>
        <c:auto val="1"/>
        <c:lblAlgn val="ctr"/>
        <c:lblOffset val="100"/>
        <c:noMultiLvlLbl val="0"/>
      </c:catAx>
      <c:valAx>
        <c:axId val="171352832"/>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334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Sheet1!$B$2</c:f>
              <c:numCache>
                <c:formatCode>General</c:formatCode>
                <c:ptCount val="1"/>
                <c:pt idx="0">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Sheet1!$C$2</c:f>
              <c:numCache>
                <c:formatCode>General</c:formatCode>
                <c:ptCount val="1"/>
                <c:pt idx="0">
                  <c:v>67.32</c:v>
                </c:pt>
              </c:numCache>
            </c:numRef>
          </c:val>
        </c:ser>
        <c:dLbls>
          <c:showLegendKey val="0"/>
          <c:showVal val="1"/>
          <c:showCatName val="0"/>
          <c:showSerName val="0"/>
          <c:showPercent val="0"/>
          <c:showBubbleSize val="0"/>
        </c:dLbls>
        <c:gapWidth val="219"/>
        <c:overlap val="-27"/>
        <c:axId val="171088896"/>
        <c:axId val="171111168"/>
      </c:barChart>
      <c:catAx>
        <c:axId val="17108889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111168"/>
        <c:crosses val="autoZero"/>
        <c:auto val="1"/>
        <c:lblAlgn val="ctr"/>
        <c:lblOffset val="100"/>
        <c:noMultiLvlLbl val="0"/>
      </c:catAx>
      <c:valAx>
        <c:axId val="17111116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088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一般公共服务（类）支出</c:v>
                </c:pt>
                <c:pt idx="1">
                  <c:v>灾害防治及应急管理（类）支出</c:v>
                </c:pt>
              </c:strCache>
            </c:strRef>
          </c:cat>
          <c:val>
            <c:numRef>
              <c:f>Sheet1!$B$2:$B$3</c:f>
              <c:numCache>
                <c:formatCode>General</c:formatCode>
                <c:ptCount val="2"/>
                <c:pt idx="0">
                  <c:v>10.36</c:v>
                </c:pt>
                <c:pt idx="1">
                  <c:v>56.95</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一般公共服务（类）支出</c:v>
                </c:pt>
                <c:pt idx="1">
                  <c:v>灾害防治及应急管理（类）支出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一般公共服务（类）支出</c:v>
                </c:pt>
                <c:pt idx="1">
                  <c:v>灾害防治及应急管理（类）支出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1F497D">
                  <a:lumMod val="60000"/>
                  <a:lumOff val="40000"/>
                </a:srgbClr>
              </a:solidFill>
              <a:ln w="25400" cap="rnd">
                <a:noFill/>
                <a:prstDash val="solid"/>
                <a:round/>
              </a:ln>
              <a:effectLst/>
            </c:spPr>
          </c:dPt>
          <c:dPt>
            <c:idx val="5"/>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Sheet1!$B$2:$B$7</c:f>
              <c:numCache>
                <c:formatCode>General</c:formatCode>
                <c:ptCount val="6"/>
                <c:pt idx="0">
                  <c:v>0</c:v>
                </c:pt>
                <c:pt idx="1">
                  <c:v>0</c:v>
                </c:pt>
                <c:pt idx="2">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legendEntry>
        <c:idx val="5"/>
        <c:delete val="1"/>
      </c:legendEntry>
      <c:layout>
        <c:manualLayout>
          <c:xMode val="edge"/>
          <c:yMode val="edge"/>
          <c:x val="0.189333992746456"/>
          <c:y val="0.7992824773413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38F7-7612-4B42-BD56-13ED7AF1D01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12601</Words>
  <Characters>13300</Characters>
  <Lines>109</Lines>
  <Paragraphs>30</Paragraphs>
  <TotalTime>3</TotalTime>
  <ScaleCrop>false</ScaleCrop>
  <LinksUpToDate>false</LinksUpToDate>
  <CharactersWithSpaces>13494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2020-07-23T02:58:00Z</cp:lastPrinted>
  <dcterms:modified xsi:type="dcterms:W3CDTF">2024-07-26T01:32:05Z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715B304118064DFEA704FB4A78FBCBEE_13</vt:lpwstr>
  </property>
</Properties>
</file>