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bidi w:val="0"/>
        <w:jc w:val="center"/>
        <w:rPr>
          <w:rFonts w:hint="eastAsia" w:ascii="黑体" w:hAnsi="黑体" w:eastAsia="黑体" w:cs="黑体"/>
          <w:sz w:val="72"/>
          <w:szCs w:val="72"/>
        </w:rPr>
      </w:pPr>
      <w:bookmarkStart w:id="1" w:name="_Toc15377425"/>
      <w:bookmarkStart w:id="2" w:name="_Toc15396475"/>
      <w:bookmarkStart w:id="3" w:name="_Toc15378441"/>
      <w:bookmarkStart w:id="4" w:name="_Toc15377193"/>
      <w:bookmarkStart w:id="5" w:name="_Toc15396597"/>
      <w:r>
        <w:rPr>
          <w:rFonts w:hint="eastAsia" w:ascii="黑体" w:hAnsi="黑体" w:eastAsia="黑体" w:cs="黑体"/>
          <w:sz w:val="72"/>
          <w:szCs w:val="72"/>
        </w:rPr>
        <w:t>2019年度</w:t>
      </w:r>
      <w:bookmarkEnd w:id="1"/>
      <w:bookmarkEnd w:id="2"/>
      <w:bookmarkEnd w:id="3"/>
      <w:bookmarkEnd w:id="4"/>
      <w:bookmarkEnd w:id="5"/>
      <w:bookmarkStart w:id="6" w:name="_Toc15377194"/>
      <w:bookmarkStart w:id="7" w:name="_Toc15396476"/>
      <w:bookmarkStart w:id="8" w:name="_Toc15396598"/>
      <w:bookmarkStart w:id="9" w:name="_Toc15378442"/>
      <w:bookmarkStart w:id="10" w:name="_Toc15377426"/>
      <w:r>
        <w:rPr>
          <w:rFonts w:hint="eastAsia" w:ascii="黑体" w:hAnsi="黑体" w:eastAsia="黑体" w:cs="黑体"/>
          <w:sz w:val="72"/>
          <w:szCs w:val="72"/>
        </w:rPr>
        <w:t>四川省</w:t>
      </w:r>
      <w:bookmarkEnd w:id="0"/>
      <w:bookmarkStart w:id="11" w:name="_Toc15306268"/>
    </w:p>
    <w:p>
      <w:pPr>
        <w:bidi w:val="0"/>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乐山高新技术产业开发区人力资源服务中心</w:t>
      </w:r>
    </w:p>
    <w:p>
      <w:pPr>
        <w:bidi w:val="0"/>
        <w:jc w:val="center"/>
        <w:rPr>
          <w:rFonts w:hint="eastAsia" w:ascii="仿宋" w:hAnsi="仿宋" w:eastAsia="仿宋" w:cs="仿宋"/>
          <w:sz w:val="72"/>
          <w:szCs w:val="72"/>
        </w:rPr>
      </w:pPr>
      <w:r>
        <w:rPr>
          <w:rFonts w:hint="eastAsia" w:ascii="黑体" w:hAnsi="黑体" w:eastAsia="黑体" w:cs="黑体"/>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 xml:space="preserve">23 </w:t>
      </w:r>
      <w:r>
        <w:rPr>
          <w:rFonts w:hint="eastAsia"/>
        </w:rPr>
        <w:t>日</w:t>
      </w:r>
    </w:p>
    <w:sdt>
      <w:sdtPr>
        <w:rPr>
          <w:rFonts w:ascii="宋体" w:hAnsi="宋体" w:eastAsia="宋体" w:cs="Times New Roman"/>
          <w:kern w:val="2"/>
          <w:sz w:val="21"/>
          <w:szCs w:val="24"/>
          <w:lang w:val="en-US" w:eastAsia="zh-CN" w:bidi="ar-SA"/>
        </w:rPr>
        <w:id w:val="147462127"/>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 w:val="clear" w:pos="8296"/>
            </w:tabs>
            <w:rPr>
              <w:rFonts w:hint="eastAsia" w:ascii="仿宋" w:hAnsi="仿宋" w:eastAsia="仿宋" w:cs="仿宋"/>
              <w:b w:val="0"/>
              <w:bCs w:val="0"/>
              <w:sz w:val="28"/>
              <w:szCs w:val="28"/>
            </w:rPr>
          </w:pPr>
          <w:r>
            <w:fldChar w:fldCharType="begin"/>
          </w:r>
          <w:r>
            <w:instrText xml:space="preserve">TOC \o "1-2" \h \u </w:instrText>
          </w:r>
          <w:r>
            <w:fldChar w:fldCharType="separate"/>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_Toc25676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第一部分 部门概况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_Toc25676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_Toc11034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一、基本</w:t>
          </w:r>
          <w:r>
            <w:rPr>
              <w:rFonts w:hint="eastAsia" w:ascii="仿宋" w:hAnsi="仿宋" w:eastAsia="仿宋" w:cs="仿宋"/>
              <w:b w:val="0"/>
              <w:bCs w:val="0"/>
              <w:kern w:val="0"/>
              <w:sz w:val="28"/>
              <w:szCs w:val="28"/>
              <w:lang w:val="en-US" w:eastAsia="zh-CN" w:bidi="ar-SA"/>
            </w:rPr>
            <w:t>职能及主要工作</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_Toc11034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_Toc10124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二、机构设置</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_Toc10124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_Toc8852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第二部分 2019年度部门决算情况说明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_Toc8852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_Toc30616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 收入支出决算总体情况说明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_Toc30616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_Toc8359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 收入决算情况说明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_Toc8359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_Toc32214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 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_Toc32214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_Toc11048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四、财政拨款收入支出决算总体情况说明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_Toc11048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bookmarkStart w:id="105" w:name="_GoBack"/>
          <w:bookmarkEnd w:id="105"/>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_Toc10946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五、一般公共预算财政拨款支出决算情况说明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_Toc10946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_Toc21169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六、一般公共预算财政拨款基本支出决算情况说明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_Toc21169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_Toc28250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七、“三公”经费财政拨款支出决算情况说明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_Toc28250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_Toc2544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八、政府性基金预算支出决算情况说明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_Toc2544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_Toc12462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九、 国有资本经营预算支出决算情况说明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_Toc12462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_Toc16479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十、其他重要事项的情况说明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_Toc16479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_Toc29753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第三部分 名词解释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_Toc29753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_Toc9176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第四部分 附件</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_Toc9176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_Toc6056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附件1</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_Toc6056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_Toc18333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附件2</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_Toc18333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_Toc6974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第五部分 附表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_Toc6974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_Toc9421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一、收入支出决算总表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_Toc9421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_Toc11768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二、收入决算表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_Toc11768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_Toc18273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_Toc18273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_Toc10517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四、财政拨款收入支出决算总表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_Toc10517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_Toc21537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五、财政拨款支出决算明细表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_Toc21537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_Toc5303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六、一般公共预算财政拨款支出决算表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_Toc5303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_Toc14131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七、一般公共预算财政拨款支出决算明细表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_Toc14131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_Toc26295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八、一般公共预算财政拨款基本支出决算表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_Toc26295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_Toc2097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九、一般公共预算财政拨款项目支出决算表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_Toc2097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_Toc29921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十、一般公共预算财政拨款“三公”经费支出决算表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_Toc29921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_Toc22508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十一、政府性基金预算财政拨款收入支出决算表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_Toc22508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_Toc7721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十二、政府性基金预算财政拨款“三公”经费支出决算表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_Toc7721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tabs>
              <w:tab w:val="right" w:leader="dot" w:pos="8306"/>
              <w:tab w:val="clear" w:pos="8296"/>
            </w:tabs>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_Toc32069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十三、国有资本经营预算支出决算表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_Toc32069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r>
            <w:fldChar w:fldCharType="end"/>
          </w:r>
        </w:p>
      </w:sdtContent>
    </w:sdt>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bookmarkStart w:id="14" w:name="_Toc25676"/>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bookmarkEnd w:id="14"/>
    </w:p>
    <w:p>
      <w:pPr>
        <w:widowControl/>
        <w:jc w:val="left"/>
        <w:rPr>
          <w:rFonts w:ascii="黑体" w:eastAsia="黑体"/>
          <w:color w:val="000000"/>
          <w:sz w:val="32"/>
          <w:szCs w:val="32"/>
        </w:rPr>
      </w:pPr>
    </w:p>
    <w:p>
      <w:pPr>
        <w:pStyle w:val="3"/>
        <w:ind w:firstLine="640" w:firstLineChars="200"/>
        <w:rPr>
          <w:rFonts w:hint="eastAsia" w:ascii="仿宋" w:hAnsi="仿宋" w:eastAsia="仿宋" w:cs="仿宋"/>
          <w:b w:val="0"/>
          <w:bCs w:val="0"/>
          <w:kern w:val="0"/>
          <w:sz w:val="32"/>
          <w:szCs w:val="32"/>
          <w:lang w:val="en-US" w:eastAsia="zh-CN" w:bidi="ar-SA"/>
        </w:rPr>
      </w:pPr>
      <w:bookmarkStart w:id="15" w:name="_Toc15396600"/>
      <w:bookmarkStart w:id="16" w:name="_Toc15377197"/>
      <w:bookmarkStart w:id="17" w:name="_Toc11034"/>
      <w:r>
        <w:rPr>
          <w:rFonts w:hint="eastAsia" w:ascii="黑体" w:hAnsi="黑体" w:eastAsia="黑体"/>
          <w:b w:val="0"/>
          <w:color w:val="000000"/>
        </w:rPr>
        <w:t>一、</w:t>
      </w:r>
      <w:r>
        <w:rPr>
          <w:rFonts w:hint="eastAsia" w:ascii="黑体" w:hAnsi="黑体" w:eastAsia="黑体"/>
          <w:b w:val="0"/>
          <w:color w:val="000000"/>
          <w:sz w:val="32"/>
          <w:szCs w:val="32"/>
          <w:lang w:val="en-US" w:eastAsia="zh-CN"/>
        </w:rPr>
        <w:t>基本职能及主要工作</w:t>
      </w:r>
      <w:bookmarkEnd w:id="15"/>
      <w:bookmarkEnd w:id="16"/>
      <w:bookmarkEnd w:id="17"/>
    </w:p>
    <w:p>
      <w:pPr>
        <w:bidi w:val="0"/>
        <w:ind w:firstLine="640" w:firstLineChars="200"/>
        <w:rPr>
          <w:rFonts w:hint="eastAsia" w:ascii="仿宋" w:hAnsi="仿宋" w:eastAsia="仿宋" w:cs="仿宋"/>
          <w:b w:val="0"/>
          <w:bCs w:val="0"/>
          <w:kern w:val="0"/>
          <w:sz w:val="32"/>
          <w:szCs w:val="32"/>
          <w:lang w:val="en-US" w:eastAsia="zh-CN" w:bidi="ar-SA"/>
        </w:rPr>
      </w:pPr>
      <w:bookmarkStart w:id="18" w:name="_Toc15378445"/>
      <w:bookmarkStart w:id="19" w:name="_Toc15377198"/>
      <w:r>
        <w:rPr>
          <w:rFonts w:hint="eastAsia" w:ascii="仿宋" w:hAnsi="仿宋" w:eastAsia="仿宋" w:cs="仿宋"/>
          <w:b w:val="0"/>
          <w:bCs w:val="0"/>
          <w:kern w:val="0"/>
          <w:sz w:val="32"/>
          <w:szCs w:val="32"/>
          <w:lang w:val="en-US" w:eastAsia="zh-CN" w:bidi="ar-SA"/>
        </w:rPr>
        <w:t>（一）主要职能。</w:t>
      </w:r>
    </w:p>
    <w:bookmarkEnd w:id="18"/>
    <w:bookmarkEnd w:id="19"/>
    <w:p>
      <w:pPr>
        <w:pStyle w:val="5"/>
        <w:bidi w:val="0"/>
        <w:ind w:firstLine="640" w:firstLineChars="200"/>
        <w:rPr>
          <w:rFonts w:hint="eastAsia"/>
        </w:rPr>
      </w:pPr>
      <w:bookmarkStart w:id="20" w:name="_Toc15378446"/>
      <w:bookmarkStart w:id="21" w:name="_Toc15377199"/>
      <w:r>
        <w:rPr>
          <w:rFonts w:hint="eastAsia" w:ascii="仿宋" w:hAnsi="仿宋" w:eastAsia="仿宋" w:cs="仿宋"/>
          <w:sz w:val="32"/>
          <w:szCs w:val="32"/>
        </w:rPr>
        <w:t>负责全区各类人员招聘的组织工作，举办各类人才和劳动力洽谈会，组织区内用人单位参加各级人才交流活动；负责人力资源市场的管理，提供人力资源供求信息；办理人才流动，异地调动工作；接受单位和个人委托，代理各种人事关系、人事档案、出国政审、职称申报，负责大中专毕业生就业指导工作；负责组织区内学校学生课外活动、课后服务等工作。承担党工委、管委会交办的其他事项。</w:t>
      </w:r>
    </w:p>
    <w:p>
      <w:pPr>
        <w:bidi w:val="0"/>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（二）2019年重点工作完成情况。</w:t>
      </w:r>
      <w:bookmarkEnd w:id="20"/>
      <w:bookmarkEnd w:id="21"/>
    </w:p>
    <w:p>
      <w:pPr>
        <w:numPr>
          <w:ilvl w:val="0"/>
          <w:numId w:val="3"/>
        </w:numPr>
        <w:bidi w:val="0"/>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完成学生课后服务工作。</w:t>
      </w:r>
    </w:p>
    <w:p>
      <w:pPr>
        <w:numPr>
          <w:ilvl w:val="0"/>
          <w:numId w:val="3"/>
        </w:numPr>
        <w:bidi w:val="0"/>
        <w:ind w:firstLine="640" w:firstLineChars="200"/>
        <w:rPr>
          <w:rFonts w:hint="default"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组织企业到高校进行校园招聘活动</w:t>
      </w:r>
    </w:p>
    <w:p>
      <w:pPr>
        <w:pStyle w:val="3"/>
        <w:bidi w:val="0"/>
        <w:ind w:firstLine="640" w:firstLineChars="200"/>
        <w:rPr>
          <w:rStyle w:val="25"/>
          <w:b w:val="0"/>
          <w:bCs w:val="0"/>
        </w:rPr>
      </w:pPr>
      <w:bookmarkStart w:id="22" w:name="_Toc10124"/>
      <w:bookmarkStart w:id="23" w:name="_Toc15396601"/>
      <w:bookmarkStart w:id="24" w:name="_Toc15377200"/>
      <w:r>
        <w:rPr>
          <w:rFonts w:hint="eastAsia" w:ascii="黑体" w:eastAsia="黑体"/>
          <w:b w:val="0"/>
          <w:color w:val="000000"/>
          <w:sz w:val="32"/>
          <w:szCs w:val="32"/>
        </w:rPr>
        <w:t>二</w:t>
      </w:r>
      <w:r>
        <w:rPr>
          <w:rFonts w:hint="eastAsia" w:ascii="黑体" w:eastAsia="黑体"/>
          <w:b w:val="0"/>
          <w:color w:val="000000"/>
        </w:rPr>
        <w:t>、</w:t>
      </w:r>
      <w:r>
        <w:rPr>
          <w:rFonts w:hint="eastAsia" w:ascii="黑体" w:hAnsi="黑体" w:eastAsia="黑体"/>
          <w:b w:val="0"/>
          <w:color w:val="000000"/>
          <w:sz w:val="32"/>
          <w:szCs w:val="32"/>
        </w:rPr>
        <w:t>机</w:t>
      </w:r>
      <w:r>
        <w:rPr>
          <w:rStyle w:val="25"/>
          <w:rFonts w:hint="eastAsia" w:ascii="黑体" w:hAnsi="黑体" w:eastAsia="黑体"/>
          <w:b w:val="0"/>
          <w:bCs w:val="0"/>
        </w:rPr>
        <w:t>构设置</w:t>
      </w:r>
      <w:bookmarkEnd w:id="22"/>
      <w:bookmarkEnd w:id="23"/>
      <w:bookmarkEnd w:id="24"/>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乐山高新技术产业开发区人力资源服务中心（以下简称：人力资源服务中心）是全额拨款的事业单位，下属二级预算单位0个，其中行政单位0个，参照公务员法管理的事业单位0个，其他事业单位0个。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5" w:name="_Toc15377204"/>
      <w:bookmarkStart w:id="26" w:name="_Toc15396602"/>
      <w:bookmarkStart w:id="27" w:name="_Toc885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5"/>
      <w:bookmarkEnd w:id="26"/>
      <w:bookmarkEnd w:id="27"/>
    </w:p>
    <w:p/>
    <w:p>
      <w:pPr>
        <w:pStyle w:val="23"/>
        <w:numPr>
          <w:ilvl w:val="0"/>
          <w:numId w:val="4"/>
        </w:numPr>
        <w:spacing w:line="600" w:lineRule="exact"/>
        <w:ind w:firstLineChars="0"/>
        <w:outlineLvl w:val="1"/>
        <w:rPr>
          <w:rStyle w:val="25"/>
          <w:rFonts w:ascii="黑体" w:hAnsi="黑体" w:eastAsia="黑体"/>
          <w:b w:val="0"/>
        </w:rPr>
      </w:pPr>
      <w:bookmarkStart w:id="28" w:name="_Toc30616"/>
      <w:bookmarkStart w:id="29" w:name="_Toc15377205"/>
      <w:bookmarkStart w:id="30"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bookmarkEnd w:id="30"/>
    </w:p>
    <w:p>
      <w:pPr>
        <w:pStyle w:val="5"/>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2019年度收、支总计43.6万元。与2018年相比，收、支总计各增加43.6万元，增长100%。主要变动原因是人力资源服务中心为2019年机构改革后新成立单位。</w:t>
      </w:r>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（图1：收、支决算总计变动情况图）（柱状图）单位：万元</w:t>
      </w: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9264" behindDoc="1" locked="0" layoutInCell="1" allowOverlap="1">
            <wp:simplePos x="0" y="0"/>
            <wp:positionH relativeFrom="column">
              <wp:posOffset>109855</wp:posOffset>
            </wp:positionH>
            <wp:positionV relativeFrom="paragraph">
              <wp:posOffset>99695</wp:posOffset>
            </wp:positionV>
            <wp:extent cx="4848225" cy="3789045"/>
            <wp:effectExtent l="5080" t="4445" r="4445" b="16510"/>
            <wp:wrapTight wrapText="bothSides">
              <wp:wrapPolygon>
                <wp:start x="-23" y="-25"/>
                <wp:lineTo x="-23" y="21477"/>
                <wp:lineTo x="21535" y="21477"/>
                <wp:lineTo x="21535" y="-25"/>
                <wp:lineTo x="-23" y="-2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4"/>
        </w:numPr>
        <w:spacing w:line="600" w:lineRule="exact"/>
        <w:ind w:firstLineChars="0"/>
        <w:outlineLvl w:val="1"/>
        <w:rPr>
          <w:rStyle w:val="25"/>
          <w:rFonts w:ascii="黑体" w:hAnsi="黑体" w:eastAsia="黑体"/>
          <w:b w:val="0"/>
        </w:rPr>
      </w:pPr>
      <w:bookmarkStart w:id="31" w:name="_Toc8359"/>
      <w:bookmarkStart w:id="32" w:name="_Toc15396604"/>
      <w:bookmarkStart w:id="33"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1"/>
      <w:bookmarkEnd w:id="32"/>
      <w:bookmarkEnd w:id="33"/>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2019年本年收入合计43.6万元，其中：一般公共预算财政拨款收入43.6万元，占100%。</w:t>
      </w:r>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（图2：收入决算结构图）（饼状图）单位：万元</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0288" behindDoc="1" locked="0" layoutInCell="1" allowOverlap="1">
            <wp:simplePos x="0" y="0"/>
            <wp:positionH relativeFrom="column">
              <wp:posOffset>205740</wp:posOffset>
            </wp:positionH>
            <wp:positionV relativeFrom="paragraph">
              <wp:posOffset>-487045</wp:posOffset>
            </wp:positionV>
            <wp:extent cx="5006340" cy="3312795"/>
            <wp:effectExtent l="4445" t="4445" r="56515" b="73660"/>
            <wp:wrapTight wrapText="bothSides">
              <wp:wrapPolygon>
                <wp:start x="-19" y="-29"/>
                <wp:lineTo x="-19" y="21459"/>
                <wp:lineTo x="21515" y="21459"/>
                <wp:lineTo x="21515" y="-29"/>
                <wp:lineTo x="-19" y="-29"/>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4"/>
        </w:numPr>
        <w:spacing w:line="600" w:lineRule="exact"/>
        <w:ind w:firstLineChars="0"/>
        <w:outlineLvl w:val="1"/>
        <w:rPr>
          <w:rStyle w:val="25"/>
          <w:rFonts w:ascii="黑体" w:hAnsi="黑体" w:eastAsia="黑体"/>
          <w:b w:val="0"/>
        </w:rPr>
      </w:pPr>
      <w:bookmarkStart w:id="34" w:name="_Toc32214"/>
      <w:bookmarkStart w:id="35" w:name="_Toc15396605"/>
      <w:bookmarkStart w:id="36"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4"/>
      <w:bookmarkEnd w:id="35"/>
      <w:bookmarkEnd w:id="36"/>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2019年本年支出合计43.6万元，其中：基本支出33.81万元，占77.55%；项目支出9.79万元，占22.45%。</w:t>
      </w:r>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189230</wp:posOffset>
            </wp:positionH>
            <wp:positionV relativeFrom="paragraph">
              <wp:posOffset>440690</wp:posOffset>
            </wp:positionV>
            <wp:extent cx="5080000" cy="3810000"/>
            <wp:effectExtent l="4445" t="4445" r="20955" b="14605"/>
            <wp:wrapTight wrapText="bothSides">
              <wp:wrapPolygon>
                <wp:start x="-19" y="-25"/>
                <wp:lineTo x="-19" y="21575"/>
                <wp:lineTo x="21527" y="21575"/>
                <wp:lineTo x="21527" y="-25"/>
                <wp:lineTo x="-19" y="-2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
          <w:sz w:val="32"/>
          <w:szCs w:val="32"/>
          <w:lang w:val="en-US" w:eastAsia="zh-CN"/>
        </w:rPr>
        <w:t>（图3：支出决算结构图）（饼状图）单位：万元</w:t>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outlineLvl w:val="1"/>
        <w:rPr>
          <w:rStyle w:val="25"/>
          <w:rFonts w:ascii="黑体" w:hAnsi="黑体" w:eastAsia="黑体"/>
          <w:b w:val="0"/>
        </w:rPr>
      </w:pPr>
      <w:bookmarkStart w:id="37" w:name="_Toc11048"/>
      <w:bookmarkStart w:id="38" w:name="_Toc15377208"/>
      <w:bookmarkStart w:id="3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7"/>
      <w:bookmarkEnd w:id="38"/>
      <w:bookmarkEnd w:id="39"/>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2019年财政拨款收、支总计43.6万元。与2018年相比，财政拨款收、支总计各增加43.6万元，增长100%。主要变动原因是人力资源服务中心为2019年机构改革后新成立单位。</w:t>
      </w:r>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（图4：财政拨款收、支决算总计变动情况）（柱状图）单位：万元</w:t>
      </w: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62336" behindDoc="1" locked="0" layoutInCell="1" allowOverlap="1">
            <wp:simplePos x="0" y="0"/>
            <wp:positionH relativeFrom="column">
              <wp:posOffset>177800</wp:posOffset>
            </wp:positionH>
            <wp:positionV relativeFrom="paragraph">
              <wp:posOffset>78740</wp:posOffset>
            </wp:positionV>
            <wp:extent cx="5080000" cy="3810000"/>
            <wp:effectExtent l="4445" t="4445" r="20955" b="14605"/>
            <wp:wrapTight wrapText="bothSides">
              <wp:wrapPolygon>
                <wp:start x="-19" y="-25"/>
                <wp:lineTo x="-19" y="21575"/>
                <wp:lineTo x="21527" y="21575"/>
                <wp:lineTo x="21527" y="-25"/>
                <wp:lineTo x="-19" y="-2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40" w:name="_Toc10946"/>
      <w:bookmarkStart w:id="41" w:name="_Toc15377209"/>
      <w:bookmarkStart w:id="4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0"/>
      <w:bookmarkEnd w:id="41"/>
      <w:bookmarkEnd w:id="42"/>
    </w:p>
    <w:p>
      <w:pPr>
        <w:pStyle w:val="5"/>
        <w:bidi w:val="0"/>
        <w:ind w:firstLine="640" w:firstLineChars="200"/>
        <w:rPr>
          <w:rFonts w:hint="eastAsia" w:ascii="仿宋" w:hAnsi="仿宋" w:eastAsia="仿宋" w:cs="仿宋"/>
          <w:sz w:val="32"/>
          <w:szCs w:val="32"/>
          <w:lang w:val="en-US" w:eastAsia="zh-CN"/>
        </w:rPr>
      </w:pPr>
      <w:bookmarkStart w:id="43" w:name="_Toc15377210"/>
      <w:r>
        <w:rPr>
          <w:rFonts w:hint="eastAsia" w:ascii="仿宋" w:hAnsi="仿宋" w:eastAsia="仿宋" w:cs="仿宋"/>
          <w:sz w:val="32"/>
          <w:szCs w:val="32"/>
          <w:lang w:val="en-US" w:eastAsia="zh-CN"/>
        </w:rPr>
        <w:t>（一）一般公共预算财政拨款支出决算总体情况</w:t>
      </w:r>
      <w:bookmarkEnd w:id="43"/>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2019年一般公共预算财政拨款支出43.6万元，占本年支出合计的100%。与2018年相比，一般公共预算财政拨款增加43.6万元，增长100%。主要变动原因是人力资源服务中心为2019年机构改革后新成立单位。</w:t>
      </w:r>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62230</wp:posOffset>
            </wp:positionH>
            <wp:positionV relativeFrom="paragraph">
              <wp:posOffset>889000</wp:posOffset>
            </wp:positionV>
            <wp:extent cx="5080000" cy="3810000"/>
            <wp:effectExtent l="4445" t="4445" r="20955" b="14605"/>
            <wp:wrapTight wrapText="bothSides">
              <wp:wrapPolygon>
                <wp:start x="-19" y="-25"/>
                <wp:lineTo x="-19" y="21575"/>
                <wp:lineTo x="21527" y="21575"/>
                <wp:lineTo x="21527" y="-25"/>
                <wp:lineTo x="-19" y="-2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sz w:val="32"/>
          <w:szCs w:val="32"/>
          <w:lang w:val="en-US" w:eastAsia="zh-CN"/>
        </w:rPr>
        <w:t>（图5：一般公共预算财政拨款支出决算变动情况）（柱状图）单位：万元</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pStyle w:val="5"/>
        <w:bidi w:val="0"/>
        <w:ind w:firstLine="640" w:firstLineChars="200"/>
        <w:rPr>
          <w:rFonts w:hint="eastAsia" w:ascii="仿宋" w:hAnsi="仿宋" w:eastAsia="仿宋" w:cs="仿宋"/>
          <w:sz w:val="32"/>
          <w:szCs w:val="32"/>
          <w:lang w:val="en-US" w:eastAsia="zh-CN"/>
        </w:rPr>
      </w:pPr>
      <w:bookmarkStart w:id="44" w:name="_Toc15377211"/>
      <w:r>
        <w:rPr>
          <w:rFonts w:hint="eastAsia" w:ascii="仿宋" w:hAnsi="仿宋" w:eastAsia="仿宋" w:cs="仿宋"/>
          <w:sz w:val="32"/>
          <w:szCs w:val="32"/>
          <w:lang w:val="en-US" w:eastAsia="zh-CN"/>
        </w:rPr>
        <w:t>（二）一般公共预算财政拨款支出决算结构情况</w:t>
      </w:r>
      <w:bookmarkEnd w:id="44"/>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2019年一般公共预算财政拨款支出43.6万元，主要用于以下方面:一般公共服务（类）支出43.6万元，占100%</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s="仿宋"/>
          <w:kern w:val="0"/>
          <w:sz w:val="32"/>
          <w:szCs w:val="32"/>
          <w:lang w:val="en-US" w:eastAsia="zh-CN" w:bidi="ar-SA"/>
        </w:rPr>
        <w:t>（图6：一般公共预算财政拨款支出决算结构）（饼状图）单位：万元</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326390</wp:posOffset>
            </wp:positionH>
            <wp:positionV relativeFrom="paragraph">
              <wp:posOffset>285750</wp:posOffset>
            </wp:positionV>
            <wp:extent cx="5069205" cy="3376295"/>
            <wp:effectExtent l="4445" t="4445" r="12700" b="10160"/>
            <wp:wrapTight wrapText="bothSides">
              <wp:wrapPolygon>
                <wp:start x="-19" y="-28"/>
                <wp:lineTo x="-19" y="21543"/>
                <wp:lineTo x="21573" y="21543"/>
                <wp:lineTo x="21573" y="-28"/>
                <wp:lineTo x="-19" y="-28"/>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bidi w:val="0"/>
        <w:ind w:firstLine="640" w:firstLineChars="200"/>
        <w:rPr>
          <w:rFonts w:hint="eastAsia" w:ascii="仿宋" w:hAnsi="仿宋" w:eastAsia="仿宋" w:cs="仿宋"/>
          <w:b w:val="0"/>
          <w:bCs w:val="0"/>
          <w:kern w:val="0"/>
          <w:sz w:val="32"/>
          <w:szCs w:val="32"/>
          <w:lang w:val="en-US" w:eastAsia="zh-CN" w:bidi="ar-SA"/>
        </w:rPr>
      </w:pPr>
      <w:bookmarkStart w:id="45" w:name="_Toc15377212"/>
      <w:r>
        <w:rPr>
          <w:rFonts w:hint="eastAsia" w:ascii="仿宋" w:hAnsi="仿宋" w:eastAsia="仿宋" w:cs="仿宋"/>
          <w:b w:val="0"/>
          <w:bCs w:val="0"/>
          <w:kern w:val="0"/>
          <w:sz w:val="32"/>
          <w:szCs w:val="32"/>
          <w:lang w:val="en-US" w:eastAsia="zh-CN" w:bidi="ar-SA"/>
        </w:rPr>
        <w:t>（三）一般公共预算财政拨款支出决算具体情况</w:t>
      </w:r>
      <w:bookmarkEnd w:id="45"/>
    </w:p>
    <w:p>
      <w:pPr>
        <w:spacing w:line="600" w:lineRule="exact"/>
        <w:ind w:firstLine="640" w:firstLineChars="200"/>
        <w:rPr>
          <w:rFonts w:hint="eastAsia" w:ascii="仿宋" w:hAnsi="仿宋" w:eastAsia="仿宋" w:cs="仿宋"/>
          <w:b w:val="0"/>
          <w:bCs w:val="0"/>
          <w:kern w:val="0"/>
          <w:sz w:val="32"/>
          <w:szCs w:val="32"/>
          <w:lang w:val="en-US" w:eastAsia="zh-CN" w:bidi="ar-SA"/>
        </w:rPr>
      </w:pPr>
      <w:bookmarkStart w:id="46" w:name="_Toc15377444"/>
      <w:bookmarkStart w:id="47" w:name="_Toc15377213"/>
      <w:bookmarkStart w:id="48" w:name="_Toc15378460"/>
      <w:r>
        <w:rPr>
          <w:rFonts w:hint="eastAsia" w:ascii="仿宋" w:hAnsi="仿宋" w:eastAsia="仿宋" w:cs="仿宋"/>
          <w:b w:val="0"/>
          <w:bCs w:val="0"/>
          <w:kern w:val="0"/>
          <w:sz w:val="32"/>
          <w:szCs w:val="32"/>
          <w:lang w:val="en-US" w:eastAsia="zh-CN" w:bidi="ar-SA"/>
        </w:rPr>
        <w:t>2019年般公共预算支出决算数为43.6，完成预算100%。其中：</w:t>
      </w:r>
      <w:bookmarkEnd w:id="46"/>
      <w:bookmarkEnd w:id="47"/>
      <w:bookmarkEnd w:id="48"/>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1.一般公共服务（201）政府办公厅（室）及相关机构事务（03）事业运行（50）: 支出决算为9.28万元，完成预算100%。</w:t>
      </w:r>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2.一般公共服务（201）政府办公厅（室）及相关机构事务（03）其他政府办公厅（室）及相关机构事务支出（99）: 支出决算为9.79万元，完成预算100%。</w:t>
      </w:r>
    </w:p>
    <w:p>
      <w:pPr>
        <w:spacing w:line="600" w:lineRule="exact"/>
        <w:ind w:firstLine="640" w:firstLineChars="200"/>
        <w:rPr>
          <w:rFonts w:ascii="仿宋" w:hAnsi="仿宋" w:eastAsia="仿宋"/>
          <w:b/>
          <w:color w:val="000000"/>
          <w:sz w:val="32"/>
          <w:szCs w:val="32"/>
        </w:rPr>
      </w:pPr>
      <w:r>
        <w:rPr>
          <w:rFonts w:hint="eastAsia" w:ascii="仿宋" w:hAnsi="仿宋" w:eastAsia="仿宋" w:cs="仿宋"/>
          <w:b w:val="0"/>
          <w:bCs w:val="0"/>
          <w:kern w:val="0"/>
          <w:sz w:val="32"/>
          <w:szCs w:val="32"/>
          <w:lang w:val="en-US" w:eastAsia="zh-CN" w:bidi="ar-SA"/>
        </w:rPr>
        <w:t>3.一般公共服务（201）人力资源事务（10）事业运行（50）: 支出决算为24.53万元，完成预算100%。</w:t>
      </w:r>
    </w:p>
    <w:p>
      <w:pPr>
        <w:tabs>
          <w:tab w:val="right" w:pos="8306"/>
        </w:tabs>
        <w:spacing w:line="600" w:lineRule="exact"/>
        <w:ind w:firstLine="640"/>
        <w:outlineLvl w:val="1"/>
        <w:rPr>
          <w:rStyle w:val="25"/>
        </w:rPr>
      </w:pPr>
      <w:bookmarkStart w:id="49" w:name="_Toc15396608"/>
      <w:bookmarkStart w:id="50" w:name="_Toc15377214"/>
      <w:bookmarkStart w:id="51" w:name="_Toc2116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9"/>
      <w:bookmarkEnd w:id="50"/>
      <w:bookmarkEnd w:id="51"/>
      <w:r>
        <w:rPr>
          <w:rStyle w:val="25"/>
          <w:rFonts w:ascii="黑体" w:hAnsi="黑体" w:eastAsia="黑体"/>
          <w:b w:val="0"/>
        </w:rPr>
        <w:tab/>
      </w:r>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2019年一般公共预算财政拨款基本支出33.81万元，其中：</w:t>
      </w:r>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人员经费26.21万元，主要包括：基本工资、津贴补贴、奖金、伙食补助费、绩效工资、其他对个人和家庭的补助支出等。</w:t>
      </w:r>
      <w:r>
        <w:rPr>
          <w:rFonts w:hint="eastAsia" w:ascii="仿宋" w:hAnsi="仿宋" w:eastAsia="仿宋" w:cs="仿宋"/>
          <w:b w:val="0"/>
          <w:bCs w:val="0"/>
          <w:kern w:val="0"/>
          <w:sz w:val="32"/>
          <w:szCs w:val="32"/>
          <w:lang w:val="en-US" w:eastAsia="zh-CN" w:bidi="ar-SA"/>
        </w:rPr>
        <w:br w:type="textWrapping"/>
      </w:r>
      <w:r>
        <w:rPr>
          <w:rFonts w:hint="eastAsia" w:ascii="仿宋" w:hAnsi="仿宋" w:eastAsia="仿宋" w:cs="仿宋"/>
          <w:b w:val="0"/>
          <w:bCs w:val="0"/>
          <w:kern w:val="0"/>
          <w:sz w:val="32"/>
          <w:szCs w:val="32"/>
          <w:lang w:val="en-US" w:eastAsia="zh-CN" w:bidi="ar-SA"/>
        </w:rPr>
        <w:t>　　日常公用经费7.6万元，主要包括：办公费、印刷费、邮电费、差旅费、劳务费、公务接待费、工会经费、福利费、其他商品和服务支出等。</w:t>
      </w:r>
    </w:p>
    <w:p>
      <w:pPr>
        <w:spacing w:line="600" w:lineRule="exact"/>
        <w:ind w:firstLine="640"/>
        <w:outlineLvl w:val="1"/>
        <w:rPr>
          <w:rStyle w:val="25"/>
          <w:rFonts w:ascii="黑体" w:hAnsi="黑体" w:eastAsia="黑体"/>
          <w:b w:val="0"/>
        </w:rPr>
      </w:pPr>
      <w:bookmarkStart w:id="52" w:name="_Toc15377215"/>
      <w:bookmarkStart w:id="53" w:name="_Toc15396609"/>
      <w:bookmarkStart w:id="54" w:name="_Toc28250"/>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2"/>
      <w:bookmarkEnd w:id="53"/>
      <w:bookmarkEnd w:id="54"/>
    </w:p>
    <w:p>
      <w:pPr>
        <w:spacing w:line="600" w:lineRule="exact"/>
        <w:ind w:firstLine="640" w:firstLineChars="200"/>
        <w:rPr>
          <w:rFonts w:hint="eastAsia" w:ascii="仿宋" w:hAnsi="仿宋" w:eastAsia="仿宋" w:cs="仿宋"/>
          <w:b w:val="0"/>
          <w:bCs w:val="0"/>
          <w:kern w:val="0"/>
          <w:sz w:val="32"/>
          <w:szCs w:val="32"/>
          <w:lang w:val="en-US" w:eastAsia="zh-CN" w:bidi="ar-SA"/>
        </w:rPr>
      </w:pPr>
      <w:bookmarkStart w:id="55" w:name="_Toc15377216"/>
      <w:r>
        <w:rPr>
          <w:rFonts w:hint="eastAsia" w:ascii="仿宋" w:hAnsi="仿宋" w:eastAsia="仿宋" w:cs="仿宋"/>
          <w:b w:val="0"/>
          <w:bCs w:val="0"/>
          <w:kern w:val="0"/>
          <w:sz w:val="32"/>
          <w:szCs w:val="32"/>
          <w:lang w:val="en-US" w:eastAsia="zh-CN" w:bidi="ar-SA"/>
        </w:rPr>
        <w:t>（一）“三公”经费财政拨款支出决算总体情况说明</w:t>
      </w:r>
      <w:bookmarkEnd w:id="55"/>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2019年“三公”经费财政拨款支出决算为0.05万元，完成预算100%。</w:t>
      </w:r>
    </w:p>
    <w:p>
      <w:pPr>
        <w:spacing w:line="600" w:lineRule="exact"/>
        <w:ind w:firstLine="640" w:firstLineChars="200"/>
        <w:rPr>
          <w:rFonts w:hint="eastAsia" w:ascii="仿宋" w:hAnsi="仿宋" w:eastAsia="仿宋" w:cs="仿宋"/>
          <w:b w:val="0"/>
          <w:bCs w:val="0"/>
          <w:kern w:val="0"/>
          <w:sz w:val="32"/>
          <w:szCs w:val="32"/>
          <w:lang w:val="en-US" w:eastAsia="zh-CN" w:bidi="ar-SA"/>
        </w:rPr>
      </w:pPr>
      <w:bookmarkStart w:id="56" w:name="_Toc15377217"/>
      <w:r>
        <w:rPr>
          <w:rFonts w:hint="eastAsia" w:ascii="仿宋" w:hAnsi="仿宋" w:eastAsia="仿宋" w:cs="仿宋"/>
          <w:b w:val="0"/>
          <w:bCs w:val="0"/>
          <w:kern w:val="0"/>
          <w:sz w:val="32"/>
          <w:szCs w:val="32"/>
          <w:lang w:val="en-US" w:eastAsia="zh-CN" w:bidi="ar-SA"/>
        </w:rPr>
        <w:t>（二）“三公”经费财政拨款支出决算具体情况说明</w:t>
      </w:r>
      <w:bookmarkEnd w:id="56"/>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2019年“三公”经费财政拨款支出决算中，因公出国（境）费支出决算0万元，占0%；公务用车购置及运行维护费支出决算0万元，占0%；公务接待费支出决算0.05万元，占100%。具体情况如下：</w:t>
      </w:r>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（图7：“三公”经费财政拨款支出结构）（饼状图）</w:t>
      </w:r>
    </w:p>
    <w:p>
      <w:pPr>
        <w:spacing w:line="60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单位：万元</w:t>
      </w:r>
    </w:p>
    <w:p>
      <w:pPr>
        <w:spacing w:line="600" w:lineRule="exact"/>
        <w:ind w:firstLine="640" w:firstLineChars="200"/>
        <w:rPr>
          <w:rFonts w:hint="eastAsia" w:ascii="仿宋" w:hAnsi="仿宋" w:eastAsia="仿宋" w:cs="仿宋"/>
          <w:b w:val="0"/>
          <w:bCs w:val="0"/>
          <w:kern w:val="0"/>
          <w:sz w:val="32"/>
          <w:szCs w:val="32"/>
          <w:lang w:val="en-US" w:eastAsia="zh-CN" w:bidi="ar-SA"/>
        </w:rPr>
      </w:pP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default" w:ascii="仿宋" w:hAnsi="仿宋" w:eastAsia="仿宋_GB2312"/>
          <w:color w:val="000000"/>
          <w:sz w:val="32"/>
          <w:szCs w:val="32"/>
          <w:lang w:val="en-US" w:eastAsia="zh-CN"/>
        </w:rPr>
      </w:pPr>
      <w:r>
        <w:rPr>
          <w:rFonts w:hint="eastAsia" w:ascii="仿宋" w:hAnsi="仿宋" w:eastAsia="仿宋" w:cs="仿宋"/>
          <w:b w:val="0"/>
          <w:bCs w:val="0"/>
          <w:kern w:val="0"/>
          <w:sz w:val="32"/>
          <w:szCs w:val="32"/>
          <w:lang w:val="en-US" w:eastAsia="zh-CN" w:bidi="ar-SA"/>
        </w:rPr>
        <w:drawing>
          <wp:anchor distT="0" distB="0" distL="114300" distR="114300" simplePos="0" relativeHeight="251665408" behindDoc="0" locked="0" layoutInCell="1" allowOverlap="1">
            <wp:simplePos x="0" y="0"/>
            <wp:positionH relativeFrom="column">
              <wp:posOffset>316865</wp:posOffset>
            </wp:positionH>
            <wp:positionV relativeFrom="paragraph">
              <wp:posOffset>-9269730</wp:posOffset>
            </wp:positionV>
            <wp:extent cx="4686300" cy="3258820"/>
            <wp:effectExtent l="4445" t="5080" r="14605" b="1270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lang w:val="en-US" w:eastAsia="zh-CN"/>
        </w:rPr>
        <w:t>1.因公出国（境）经费支出0万元。</w:t>
      </w:r>
      <w:r>
        <w:rPr>
          <w:rFonts w:hint="eastAsia" w:ascii="仿宋_GB2312" w:eastAsia="仿宋_GB2312"/>
          <w:color w:val="000000"/>
          <w:sz w:val="32"/>
          <w:szCs w:val="32"/>
        </w:rPr>
        <w:t>全年安排因公出国（境）团组0次，出国（境）0人。</w:t>
      </w:r>
      <w:r>
        <w:rPr>
          <w:rFonts w:hint="eastAsia" w:ascii="仿宋_GB2312" w:eastAsia="仿宋_GB2312"/>
          <w:color w:val="000000"/>
          <w:sz w:val="32"/>
          <w:szCs w:val="32"/>
          <w:lang w:eastAsia="zh-CN"/>
        </w:rPr>
        <w:t>本单位为</w:t>
      </w:r>
      <w:r>
        <w:rPr>
          <w:rFonts w:hint="eastAsia" w:ascii="仿宋_GB2312" w:eastAsia="仿宋_GB2312"/>
          <w:color w:val="000000"/>
          <w:sz w:val="32"/>
          <w:szCs w:val="32"/>
          <w:lang w:val="en-US" w:eastAsia="zh-CN"/>
        </w:rPr>
        <w:t>2019年新成立单位，上年无数据。</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2.公务用车购置及运行维护费支出0万元。</w:t>
      </w:r>
      <w:r>
        <w:rPr>
          <w:rFonts w:hint="eastAsia" w:ascii="仿宋_GB2312" w:eastAsia="仿宋_GB2312"/>
          <w:color w:val="000000"/>
          <w:sz w:val="32"/>
          <w:szCs w:val="32"/>
          <w:lang w:eastAsia="zh-CN"/>
        </w:rPr>
        <w:t>本单位为</w:t>
      </w:r>
      <w:r>
        <w:rPr>
          <w:rFonts w:hint="eastAsia" w:ascii="仿宋_GB2312" w:eastAsia="仿宋_GB2312"/>
          <w:color w:val="000000"/>
          <w:sz w:val="32"/>
          <w:szCs w:val="32"/>
          <w:lang w:val="en-US" w:eastAsia="zh-CN"/>
        </w:rPr>
        <w:t>2019年新成立单位，上年无数据。</w:t>
      </w:r>
    </w:p>
    <w:p>
      <w:pPr>
        <w:spacing w:line="600" w:lineRule="exact"/>
        <w:ind w:firstLine="640" w:firstLineChars="200"/>
        <w:rPr>
          <w:rFonts w:hint="eastAsia" w:ascii="仿宋" w:hAnsi="仿宋" w:eastAsia="仿宋_GB2312" w:cs="仿宋"/>
          <w:kern w:val="0"/>
          <w:sz w:val="32"/>
          <w:szCs w:val="32"/>
          <w:lang w:val="en-US" w:eastAsia="zh-CN" w:bidi="ar-SA"/>
        </w:rPr>
      </w:pPr>
      <w:r>
        <w:rPr>
          <w:rFonts w:hint="eastAsia" w:ascii="仿宋" w:hAnsi="仿宋" w:eastAsia="仿宋" w:cs="仿宋"/>
          <w:kern w:val="0"/>
          <w:sz w:val="32"/>
          <w:szCs w:val="32"/>
          <w:lang w:val="en-US" w:eastAsia="zh-CN" w:bidi="ar-SA"/>
        </w:rPr>
        <w:t>其中：公务用车购置支出0万元。</w:t>
      </w:r>
      <w:r>
        <w:rPr>
          <w:rFonts w:hint="eastAsia" w:ascii="仿宋_GB2312" w:eastAsia="仿宋_GB2312"/>
          <w:color w:val="000000"/>
          <w:sz w:val="32"/>
          <w:szCs w:val="32"/>
        </w:rPr>
        <w:t>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r>
        <w:rPr>
          <w:rFonts w:hint="eastAsia" w:ascii="仿宋_GB2312" w:eastAsia="仿宋_GB2312"/>
          <w:color w:val="000000"/>
          <w:sz w:val="32"/>
          <w:szCs w:val="32"/>
          <w:lang w:eastAsia="zh-CN"/>
        </w:rPr>
        <w:t>。</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s="仿宋"/>
          <w:kern w:val="0"/>
          <w:sz w:val="32"/>
          <w:szCs w:val="32"/>
          <w:lang w:val="en-US" w:eastAsia="zh-CN" w:bidi="ar-SA"/>
        </w:rPr>
        <w:t>公务用车运行维护费支出0万元。</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3.公务接待费支出0.05万元，完成预算100%。公务接待费支出决算比2018年增加0.05万元，增长100%。主要原因是人力资源服务中心为2019年新成立的单位上年无数据。其中：</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国内公务接待支出0.05万元，主要用于开展业务活动开支的用餐费。国内公务接待1批次，7人次，共计支出0.05万元，具体内容包括：市人社局调开展文旅人力资源调研。</w:t>
      </w:r>
      <w:bookmarkStart w:id="57" w:name="_Toc15377218"/>
      <w:bookmarkStart w:id="58" w:name="_Toc15396610"/>
      <w:bookmarkStart w:id="59" w:name="_Toc2544"/>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外事接待支出0万元，外事接待0批次，0人，共计支出0万元。</w:t>
      </w:r>
    </w:p>
    <w:p>
      <w:pPr>
        <w:spacing w:line="600" w:lineRule="exact"/>
        <w:ind w:firstLine="640" w:firstLineChars="20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7"/>
      <w:bookmarkEnd w:id="58"/>
      <w:bookmarkEnd w:id="59"/>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lang w:val="en-US" w:eastAsia="zh-CN"/>
        </w:rPr>
        <w:t>2019年政府性基金预算拨款支出0万元。</w:t>
      </w:r>
    </w:p>
    <w:p>
      <w:pPr>
        <w:numPr>
          <w:ilvl w:val="0"/>
          <w:numId w:val="5"/>
        </w:numPr>
        <w:spacing w:line="600" w:lineRule="exact"/>
        <w:ind w:firstLine="640"/>
        <w:outlineLvl w:val="1"/>
        <w:rPr>
          <w:rStyle w:val="25"/>
          <w:rFonts w:ascii="黑体" w:hAnsi="黑体" w:eastAsia="黑体"/>
          <w:b w:val="0"/>
        </w:rPr>
      </w:pPr>
      <w:bookmarkStart w:id="60" w:name="_Toc15377219"/>
      <w:bookmarkStart w:id="61" w:name="_Toc15396611"/>
      <w:bookmarkStart w:id="62" w:name="_Toc12462"/>
      <w:r>
        <w:rPr>
          <w:rStyle w:val="25"/>
          <w:rFonts w:hint="eastAsia" w:ascii="黑体" w:hAnsi="黑体" w:eastAsia="黑体"/>
          <w:b w:val="0"/>
        </w:rPr>
        <w:t>国有资本经营预算支出决算情况说明</w:t>
      </w:r>
      <w:bookmarkEnd w:id="60"/>
      <w:bookmarkEnd w:id="61"/>
      <w:bookmarkEnd w:id="62"/>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lang w:val="en-US" w:eastAsia="zh-CN"/>
        </w:rPr>
        <w:t>2019年国有资本经营预算拨款支出0万元。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63" w:name="_Toc15396612"/>
      <w:bookmarkStart w:id="64" w:name="_Toc16479"/>
      <w:bookmarkStart w:id="65"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3"/>
      <w:bookmarkEnd w:id="64"/>
      <w:bookmarkEnd w:id="65"/>
    </w:p>
    <w:p>
      <w:pPr>
        <w:bidi w:val="0"/>
        <w:ind w:firstLine="640" w:firstLineChars="200"/>
        <w:rPr>
          <w:rFonts w:hint="eastAsia" w:ascii="仿宋" w:hAnsi="仿宋" w:eastAsia="仿宋" w:cs="仿宋"/>
          <w:sz w:val="32"/>
          <w:szCs w:val="32"/>
        </w:rPr>
      </w:pPr>
      <w:bookmarkStart w:id="66" w:name="_Toc15377222"/>
      <w:r>
        <w:rPr>
          <w:rFonts w:hint="eastAsia" w:ascii="仿宋" w:hAnsi="仿宋" w:eastAsia="仿宋" w:cs="仿宋"/>
          <w:sz w:val="32"/>
          <w:szCs w:val="32"/>
        </w:rPr>
        <w:t>（一）机关运行经费支出情况</w:t>
      </w:r>
      <w:bookmarkEnd w:id="66"/>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2019年，人力资源服务中心机关运行经费支出7.6万元，比2018年增加7.6万元，增长100%。主要原因是人力资源服务中心为2019年机构改革后新成立的单位。</w:t>
      </w:r>
    </w:p>
    <w:p>
      <w:pPr>
        <w:bidi w:val="0"/>
        <w:ind w:firstLine="640" w:firstLineChars="200"/>
        <w:rPr>
          <w:rFonts w:hint="eastAsia" w:ascii="仿宋" w:hAnsi="仿宋" w:eastAsia="仿宋" w:cs="仿宋"/>
          <w:sz w:val="32"/>
          <w:szCs w:val="32"/>
        </w:rPr>
      </w:pPr>
      <w:bookmarkStart w:id="67" w:name="_Toc15377223"/>
      <w:r>
        <w:rPr>
          <w:rFonts w:hint="eastAsia" w:ascii="仿宋" w:hAnsi="仿宋" w:eastAsia="仿宋" w:cs="仿宋"/>
          <w:sz w:val="32"/>
          <w:szCs w:val="32"/>
        </w:rPr>
        <w:t>（二）政府采购支出情况</w:t>
      </w:r>
      <w:bookmarkEnd w:id="67"/>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2019年，人力资源服务中心政府采购支出总额0万元。</w:t>
      </w:r>
    </w:p>
    <w:p>
      <w:pPr>
        <w:bidi w:val="0"/>
        <w:ind w:firstLine="640" w:firstLineChars="200"/>
        <w:rPr>
          <w:rFonts w:hint="eastAsia" w:ascii="仿宋" w:hAnsi="仿宋" w:eastAsia="仿宋" w:cs="仿宋"/>
          <w:sz w:val="32"/>
          <w:szCs w:val="32"/>
        </w:rPr>
      </w:pPr>
      <w:bookmarkStart w:id="68" w:name="_Toc15377224"/>
      <w:r>
        <w:rPr>
          <w:rFonts w:hint="eastAsia" w:ascii="仿宋" w:hAnsi="仿宋" w:eastAsia="仿宋" w:cs="仿宋"/>
          <w:sz w:val="32"/>
          <w:szCs w:val="32"/>
        </w:rPr>
        <w:t>（三）国有资产占有使用情况</w:t>
      </w:r>
      <w:bookmarkEnd w:id="68"/>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截至2019年12月31日，人力资源服务中心共有车辆0辆，单价50万元以上通用设备0台（套），单价100万元以上专用设备0台（套）。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（四）预算绩效管理情况。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我单位为2019年机构改革后新成立的，故未在2019年年初编制预算及绩效管理。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本部门按要求对2019年部门整体支出开展绩效自评，从评价情况来看执行情况较好。本部门还自行组织了1个项目支出绩效评价。</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1.项目绩效目标完成情况。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本部门在2019年度部门决算中反映“目标考核和绩效奖励”1个项目绩效目标实际完成情况。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1）目标考核和绩效奖励项目绩效目标完成情况综述。项目全年预算数9.79万元，执行数为9.79万元，完成预算的100%。通过项目实施，保障了单位的正常运行。下一步改进措施：在今后的预算工作中，进一步按照实事求是、统筹兼顾、量入为出、保重点、重平衡的原则编制预算，细化财政收支预算，保证部门预算额的准确性和可靠性。</w:t>
      </w: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目标考核和绩效奖励</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人力资源服务中心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支付目标考核奖励</w:t>
            </w:r>
            <w:r>
              <w:rPr>
                <w:rFonts w:hint="eastAsia" w:ascii="宋体" w:hAnsi="宋体" w:cs="宋体"/>
                <w:color w:val="000000"/>
                <w:sz w:val="24"/>
                <w:lang w:val="en-US" w:eastAsia="zh-CN"/>
              </w:rPr>
              <w:t>9.79</w:t>
            </w:r>
            <w:r>
              <w:rPr>
                <w:rFonts w:hint="eastAsia" w:ascii="宋体" w:hAnsi="宋体" w:cs="宋体"/>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支付目标考核奖励</w:t>
            </w:r>
            <w:r>
              <w:rPr>
                <w:rFonts w:hint="eastAsia" w:ascii="宋体" w:hAnsi="宋体" w:cs="宋体"/>
                <w:color w:val="000000"/>
                <w:sz w:val="24"/>
                <w:lang w:val="en-US" w:eastAsia="zh-CN"/>
              </w:rPr>
              <w:t>9.79</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本部门按要求对2019年部门整体支出绩效评价情况开展自评，《</w:t>
      </w:r>
      <w:r>
        <w:rPr>
          <w:rFonts w:hint="eastAsia" w:ascii="仿宋" w:hAnsi="仿宋" w:eastAsia="仿宋" w:cs="仿宋"/>
          <w:sz w:val="32"/>
          <w:szCs w:val="32"/>
          <w:lang w:eastAsia="zh-CN"/>
        </w:rPr>
        <w:t>人力资源服务中心</w:t>
      </w:r>
      <w:r>
        <w:rPr>
          <w:rFonts w:hint="eastAsia" w:ascii="仿宋" w:hAnsi="仿宋" w:eastAsia="仿宋" w:cs="仿宋"/>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4"/>
          <w:rFonts w:ascii="黑体" w:hAnsi="黑体" w:eastAsia="黑体"/>
          <w:b w:val="0"/>
        </w:rPr>
      </w:pPr>
      <w:bookmarkStart w:id="69" w:name="_Toc15377225"/>
      <w:bookmarkStart w:id="70" w:name="_Toc29753"/>
      <w:bookmarkStart w:id="71"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69"/>
      <w:bookmarkEnd w:id="70"/>
      <w:bookmarkEnd w:id="71"/>
    </w:p>
    <w:p>
      <w:pPr>
        <w:spacing w:line="600" w:lineRule="exact"/>
        <w:jc w:val="left"/>
        <w:rPr>
          <w:rFonts w:ascii="宋体"/>
          <w:b/>
          <w:color w:val="000000"/>
          <w:sz w:val="44"/>
          <w:szCs w:val="44"/>
        </w:rPr>
      </w:pP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1.财政拨款收入：指单位从同级财政部门取得的财政预算资金。</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2.年初结转和结余：指以前年度尚未完成、结转到本年按有关规定继续使用的资金。 </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3.年末结转和结余：指单位按有关规定结转到下年或以后年度继续使用的资金。</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4.一般公共服务（201）政府办公厅（室）及相关机构事务（03）行政运行（01）: 指行政单位（包括实行公务员管理的事业单位）的基本支出。</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5.一般公共服务（201）政府办公厅（室）及相关机构事务（03）一般行政管理事务（02）: 指行政单位（包括实行公务员管理的事业单位）的项目支出。</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6.基本支出：指为保障机构正常运转、完成日常工作任务而发生的人员支出和公用支出。</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7.项目支出：指在基本支出之外为完成特定行政任务和事业发展目标所发生的支出。 </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8.经营支出：指事业单位在专业业务活动及其辅助活动之外开展非独立核算经营活动发生的支出。</w:t>
      </w:r>
    </w:p>
    <w:p>
      <w:pPr>
        <w:spacing w:line="60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2" w:name="_Toc15396614"/>
      <w:bookmarkStart w:id="73" w:name="_Toc15377226"/>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ind w:firstLine="640" w:firstLineChars="200"/>
        <w:rPr>
          <w:rFonts w:hint="eastAsia" w:ascii="仿宋" w:hAnsi="仿宋" w:eastAsia="仿宋" w:cs="Times New Roman"/>
          <w:bCs/>
          <w:color w:val="000000"/>
          <w:kern w:val="0"/>
          <w:sz w:val="32"/>
          <w:szCs w:val="32"/>
          <w:lang w:val="en-US" w:eastAsia="zh-CN" w:bidi="ar-SA"/>
        </w:rPr>
      </w:pPr>
    </w:p>
    <w:p>
      <w:pPr>
        <w:pStyle w:val="2"/>
        <w:bidi w:val="0"/>
        <w:jc w:val="center"/>
        <w:rPr>
          <w:rStyle w:val="24"/>
          <w:rFonts w:ascii="黑体" w:hAnsi="黑体" w:eastAsia="黑体"/>
          <w:b w:val="0"/>
          <w:bCs/>
        </w:rPr>
      </w:pPr>
      <w:bookmarkStart w:id="74" w:name="_Toc9176"/>
      <w:r>
        <w:rPr>
          <w:rStyle w:val="24"/>
          <w:rFonts w:hint="eastAsia"/>
          <w:b/>
          <w:bCs/>
        </w:rPr>
        <w:t>第四部分 附件</w:t>
      </w:r>
      <w:bookmarkEnd w:id="72"/>
      <w:bookmarkEnd w:id="74"/>
    </w:p>
    <w:p>
      <w:pPr>
        <w:pStyle w:val="3"/>
        <w:bidi w:val="0"/>
      </w:pPr>
      <w:bookmarkStart w:id="75" w:name="_Toc6056"/>
      <w:r>
        <w:rPr>
          <w:rFonts w:hint="eastAsia"/>
        </w:rPr>
        <w:t>附件1</w:t>
      </w:r>
      <w:bookmarkEnd w:id="75"/>
    </w:p>
    <w:p>
      <w:pPr>
        <w:spacing w:line="580" w:lineRule="exact"/>
        <w:jc w:val="center"/>
        <w:rPr>
          <w:rFonts w:ascii="方正小标宋简体" w:hAnsi="方正小标宋简体" w:eastAsia="方正小标宋简体" w:cs="方正小标宋简体"/>
          <w:sz w:val="44"/>
          <w:szCs w:val="44"/>
        </w:rPr>
      </w:pPr>
    </w:p>
    <w:p>
      <w:pPr>
        <w:pStyle w:val="5"/>
        <w:bidi w:val="0"/>
        <w:ind w:firstLine="1600" w:firstLineChars="500"/>
        <w:rPr>
          <w:rFonts w:hint="eastAsia" w:ascii="仿宋" w:hAnsi="仿宋" w:eastAsia="仿宋" w:cs="仿宋"/>
          <w:sz w:val="32"/>
          <w:szCs w:val="32"/>
          <w:shd w:val="clear" w:color="auto" w:fill="FFFFFF"/>
        </w:rPr>
      </w:pPr>
      <w:r>
        <w:rPr>
          <w:rFonts w:hint="eastAsia" w:ascii="仿宋" w:hAnsi="仿宋" w:eastAsia="仿宋" w:cs="仿宋"/>
          <w:sz w:val="32"/>
          <w:szCs w:val="32"/>
          <w:lang w:eastAsia="zh-CN"/>
        </w:rPr>
        <w:t>人力资源服务中心</w:t>
      </w:r>
      <w:r>
        <w:rPr>
          <w:rFonts w:hint="eastAsia" w:ascii="仿宋" w:hAnsi="仿宋" w:eastAsia="仿宋" w:cs="仿宋"/>
          <w:sz w:val="32"/>
          <w:szCs w:val="32"/>
        </w:rPr>
        <w:t>部门整体支出绩效报告</w:t>
      </w:r>
    </w:p>
    <w:p>
      <w:pPr>
        <w:widowControl/>
        <w:adjustRightInd w:val="0"/>
        <w:snapToGrid w:val="0"/>
        <w:spacing w:line="540" w:lineRule="exact"/>
        <w:ind w:firstLine="720"/>
        <w:jc w:val="left"/>
        <w:rPr>
          <w:rFonts w:hint="eastAsia" w:ascii="黑体" w:hAnsi="宋体" w:eastAsia="黑体" w:cs="宋体"/>
          <w:color w:val="000000"/>
          <w:kern w:val="0"/>
          <w:sz w:val="24"/>
          <w:szCs w:val="32"/>
          <w:shd w:val="clear" w:color="auto" w:fill="FFFFFF"/>
        </w:rPr>
      </w:pPr>
    </w:p>
    <w:p>
      <w:pPr>
        <w:bidi w:val="0"/>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一、部门概况</w:t>
      </w:r>
    </w:p>
    <w:p>
      <w:pPr>
        <w:pStyle w:val="5"/>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机构组成</w:t>
      </w:r>
      <w:r>
        <w:rPr>
          <w:rFonts w:hint="eastAsia" w:ascii="仿宋" w:hAnsi="仿宋" w:eastAsia="仿宋" w:cs="仿宋"/>
          <w:sz w:val="32"/>
          <w:szCs w:val="32"/>
          <w:lang w:val="en-US" w:eastAsia="zh-CN"/>
        </w:rPr>
        <w:t>:</w:t>
      </w:r>
    </w:p>
    <w:p>
      <w:pPr>
        <w:pStyle w:val="5"/>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乐山高新区人力资源服务中心是财政全额补助的事业单位</w:t>
      </w:r>
      <w:r>
        <w:rPr>
          <w:rFonts w:hint="eastAsia" w:ascii="仿宋" w:hAnsi="仿宋" w:eastAsia="仿宋" w:cs="仿宋"/>
          <w:sz w:val="32"/>
          <w:szCs w:val="32"/>
          <w:lang w:val="en-US" w:eastAsia="zh-CN"/>
        </w:rPr>
        <w:t>。</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eastAsia="zh-CN"/>
        </w:rPr>
        <w:t>（二）机构职能</w:t>
      </w:r>
      <w:r>
        <w:rPr>
          <w:rFonts w:hint="eastAsia" w:ascii="仿宋" w:hAnsi="仿宋" w:eastAsia="仿宋" w:cs="仿宋"/>
          <w:sz w:val="32"/>
          <w:szCs w:val="32"/>
          <w:lang w:val="en-US" w:eastAsia="zh-CN"/>
        </w:rPr>
        <w:t>：</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负责全区各类人员招聘的组织工作，举办各类人才和劳动力洽谈会，组织区内用人单位参加各级人才交流活动；负责人力资源市场的管理，提供人力资源供求信息；接受单位和个人委托，代理各种人事关系、人事档案、出国政审、职称申报，负责大中专毕业生就业指导工作;负责组织区内学校学生课外活动、课后服务等工作。承担党工委、管委会交办的其他事项。</w:t>
      </w:r>
    </w:p>
    <w:p>
      <w:pPr>
        <w:pStyle w:val="5"/>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人员概况</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hanging="420" w:hangingChars="200"/>
        <w:textAlignment w:val="auto"/>
        <w:outlineLvl w:val="9"/>
        <w:rPr>
          <w:rFonts w:hint="eastAsia" w:ascii="Times New Roman" w:hAnsi="Times New Roman" w:eastAsia="仿宋"/>
          <w:lang w:val="en-US" w:eastAsia="zh-CN"/>
        </w:rPr>
      </w:pPr>
      <w:r>
        <w:rPr>
          <w:rFonts w:hint="eastAsia" w:ascii="Times New Roman" w:hAnsi="Times New Roman" w:eastAsia="仿宋"/>
          <w:shd w:val="clear" w:color="auto" w:fill="FFFFFF"/>
          <w:lang w:val="en-US" w:eastAsia="zh-CN"/>
        </w:rPr>
        <w:t xml:space="preserve">    </w:t>
      </w:r>
      <w:r>
        <w:rPr>
          <w:rFonts w:hint="eastAsia" w:ascii="仿宋" w:hAnsi="仿宋" w:eastAsia="仿宋" w:cs="仿宋"/>
          <w:kern w:val="0"/>
          <w:sz w:val="32"/>
          <w:szCs w:val="32"/>
          <w:lang w:val="en-US" w:eastAsia="zh-CN" w:bidi="ar-SA"/>
        </w:rPr>
        <w:t xml:space="preserve">    人力资源服务中心现有事业人员6名。</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二、部门财政资金收支情况</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（一）部门财政资金收入情况。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shd w:val="clear" w:color="auto" w:fill="FFFFFF"/>
          <w:lang w:val="en-US" w:eastAsia="zh-CN"/>
        </w:rPr>
      </w:pPr>
      <w:r>
        <w:rPr>
          <w:rFonts w:hint="eastAsia" w:ascii="仿宋" w:hAnsi="仿宋" w:eastAsia="仿宋" w:cs="仿宋"/>
          <w:kern w:val="0"/>
          <w:sz w:val="32"/>
          <w:szCs w:val="32"/>
          <w:lang w:val="en-US" w:eastAsia="zh-CN" w:bidi="ar-SA"/>
        </w:rPr>
        <w:t>2019年人力资源服务中心年初预算收入总额为0万元。其中：一般公共预算拨款收入0万元，基金预算收入为0万元。调整预算收入总额为43.6万元。其中：一般公共预算拨款收入43.6万元，占100%。一般公共预算增加原因为本单位为2019年机构改革后新增单位。</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（二）部门财政资金支出情况。</w:t>
      </w:r>
    </w:p>
    <w:p>
      <w:pPr>
        <w:pStyle w:val="5"/>
        <w:bidi w:val="0"/>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2019年人力资源服务中心总支出为43.6万元。其中：一般公共财政拨款支出43.6万元，占100%。主要用于：一般公共服务支出43.6万元。</w:t>
      </w:r>
    </w:p>
    <w:p>
      <w:pPr>
        <w:pStyle w:val="5"/>
        <w:bidi w:val="0"/>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三、部门财政支出管理情况</w:t>
      </w:r>
    </w:p>
    <w:p>
      <w:pPr>
        <w:pStyle w:val="5"/>
        <w:numPr>
          <w:ilvl w:val="0"/>
          <w:numId w:val="7"/>
        </w:numPr>
        <w:bidi w:val="0"/>
        <w:rPr>
          <w:rFonts w:hint="eastAsia"/>
        </w:rPr>
      </w:pPr>
      <w:r>
        <w:rPr>
          <w:rFonts w:hint="eastAsia" w:ascii="仿宋" w:hAnsi="仿宋" w:eastAsia="仿宋" w:cs="仿宋"/>
          <w:kern w:val="0"/>
          <w:sz w:val="32"/>
          <w:szCs w:val="32"/>
          <w:lang w:val="en-US" w:eastAsia="zh-CN" w:bidi="ar-SA"/>
        </w:rPr>
        <w:t>预决算编制情况</w:t>
      </w:r>
      <w:r>
        <w:rPr>
          <w:rFonts w:hint="eastAsia"/>
        </w:rPr>
        <w:t>。</w:t>
      </w:r>
    </w:p>
    <w:p>
      <w:pPr>
        <w:pStyle w:val="33"/>
        <w:rPr>
          <w:rFonts w:hint="eastAsia" w:ascii="Times New Roman" w:hAnsi="Times New Roman" w:eastAsia="仿宋"/>
          <w:shd w:val="clear" w:color="auto" w:fill="FFFFFF"/>
          <w:lang w:val="zh-CN"/>
        </w:rPr>
      </w:pPr>
      <w:r>
        <w:rPr>
          <w:rFonts w:hint="eastAsia" w:ascii="Times New Roman" w:hAnsi="Times New Roman" w:eastAsia="仿宋"/>
          <w:shd w:val="clear" w:color="auto" w:fill="FFFFFF"/>
          <w:lang w:val="en-US" w:eastAsia="zh-CN"/>
        </w:rPr>
        <w:t>2019年人力资源服务中心位机构改革后成立新单位无年初预算。</w:t>
      </w:r>
    </w:p>
    <w:p>
      <w:pPr>
        <w:pStyle w:val="5"/>
        <w:numPr>
          <w:ilvl w:val="0"/>
          <w:numId w:val="7"/>
        </w:numPr>
        <w:bidi w:val="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执行管理情况。</w:t>
      </w:r>
    </w:p>
    <w:p>
      <w:pPr>
        <w:pStyle w:val="33"/>
        <w:rPr>
          <w:rFonts w:hint="eastAsia" w:ascii="Times New Roman" w:hAnsi="Times New Roman" w:eastAsia="仿宋"/>
          <w:shd w:val="clear" w:color="auto" w:fill="FFFFFF"/>
          <w:lang w:val="en-US" w:eastAsia="zh-CN"/>
        </w:rPr>
      </w:pPr>
      <w:r>
        <w:rPr>
          <w:rFonts w:hint="eastAsia" w:ascii="Times New Roman" w:hAnsi="Times New Roman" w:eastAsia="仿宋"/>
          <w:shd w:val="clear" w:color="auto" w:fill="FFFFFF"/>
          <w:lang w:val="en-US" w:eastAsia="zh-CN"/>
        </w:rPr>
        <w:t>基本支出：2019年人力资源服务中心位机构改革后成立新单为无年初预算。</w:t>
      </w:r>
    </w:p>
    <w:p>
      <w:pPr>
        <w:pStyle w:val="5"/>
        <w:numPr>
          <w:ilvl w:val="0"/>
          <w:numId w:val="7"/>
        </w:numPr>
        <w:bidi w:val="0"/>
        <w:rPr>
          <w:rFonts w:hint="eastAsia"/>
        </w:rPr>
      </w:pPr>
      <w:r>
        <w:rPr>
          <w:rFonts w:hint="eastAsia" w:ascii="仿宋" w:hAnsi="仿宋" w:eastAsia="仿宋" w:cs="仿宋"/>
          <w:kern w:val="0"/>
          <w:sz w:val="32"/>
          <w:szCs w:val="32"/>
          <w:lang w:val="en-US" w:eastAsia="zh-CN" w:bidi="ar-SA"/>
        </w:rPr>
        <w:t>综合管理情况。</w:t>
      </w:r>
    </w:p>
    <w:p>
      <w:pPr>
        <w:pStyle w:val="33"/>
        <w:numPr>
          <w:ilvl w:val="0"/>
          <w:numId w:val="0"/>
        </w:numPr>
        <w:ind w:firstLine="640" w:firstLineChars="200"/>
        <w:rPr>
          <w:rFonts w:hint="eastAsia" w:ascii="Times New Roman" w:hAnsi="Times New Roman" w:eastAsia="仿宋"/>
        </w:rPr>
      </w:pPr>
      <w:r>
        <w:rPr>
          <w:rFonts w:hint="eastAsia" w:ascii="Times New Roman" w:hAnsi="Times New Roman" w:eastAsia="仿宋"/>
          <w:szCs w:val="24"/>
          <w:lang w:eastAsia="zh-CN"/>
        </w:rPr>
        <w:t>我部门无</w:t>
      </w:r>
      <w:r>
        <w:rPr>
          <w:rFonts w:hint="eastAsia" w:ascii="Times New Roman" w:hAnsi="Times New Roman" w:eastAsia="仿宋"/>
          <w:szCs w:val="24"/>
        </w:rPr>
        <w:t xml:space="preserve">政府性债务、非税收入 </w:t>
      </w:r>
      <w:r>
        <w:rPr>
          <w:rFonts w:hint="eastAsia" w:ascii="Times New Roman" w:hAnsi="Times New Roman" w:eastAsia="仿宋"/>
          <w:szCs w:val="24"/>
          <w:lang w:eastAsia="zh-CN"/>
        </w:rPr>
        <w:t>，</w:t>
      </w:r>
      <w:r>
        <w:rPr>
          <w:rFonts w:hint="eastAsia" w:ascii="Times New Roman" w:hAnsi="Times New Roman" w:eastAsia="仿宋"/>
          <w:szCs w:val="24"/>
        </w:rPr>
        <w:t>政</w:t>
      </w:r>
      <w:r>
        <w:rPr>
          <w:rFonts w:hint="eastAsia" w:ascii="Times New Roman" w:hAnsi="Times New Roman" w:eastAsia="仿宋"/>
          <w:szCs w:val="24"/>
          <w:lang w:eastAsia="zh-CN"/>
        </w:rPr>
        <w:t>府</w:t>
      </w:r>
      <w:r>
        <w:rPr>
          <w:rFonts w:hint="eastAsia" w:ascii="Times New Roman" w:hAnsi="Times New Roman" w:eastAsia="仿宋"/>
          <w:szCs w:val="24"/>
        </w:rPr>
        <w:t>采购实施计划、资产管理、内控制度、信息公开、绩效评价及依法接受财政监督</w:t>
      </w:r>
      <w:r>
        <w:rPr>
          <w:rFonts w:hint="eastAsia" w:ascii="Times New Roman" w:hAnsi="Times New Roman" w:eastAsia="仿宋"/>
          <w:szCs w:val="24"/>
          <w:lang w:eastAsia="zh-CN"/>
        </w:rPr>
        <w:t>。</w:t>
      </w:r>
    </w:p>
    <w:p>
      <w:pPr>
        <w:pStyle w:val="5"/>
        <w:numPr>
          <w:ilvl w:val="0"/>
          <w:numId w:val="7"/>
        </w:numPr>
        <w:bidi w:val="0"/>
        <w:rPr>
          <w:rFonts w:hint="eastAsia" w:ascii="仿宋" w:hAnsi="仿宋" w:eastAsia="仿宋" w:cs="仿宋"/>
          <w:sz w:val="32"/>
          <w:szCs w:val="32"/>
        </w:rPr>
      </w:pPr>
      <w:r>
        <w:rPr>
          <w:rFonts w:hint="eastAsia" w:ascii="仿宋" w:hAnsi="仿宋" w:eastAsia="仿宋" w:cs="仿宋"/>
          <w:sz w:val="32"/>
          <w:szCs w:val="32"/>
        </w:rPr>
        <w:t>整体绩效。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2019年在党工委、管委会的领导下，人力资源服务中心切实按照管委会下达的2019年度目标任务要求，</w:t>
      </w:r>
      <w:r>
        <w:rPr>
          <w:rFonts w:hint="eastAsia" w:ascii="Times New Roman" w:hAnsi="Times New Roman" w:eastAsia="仿宋" w:cs="Times New Roman"/>
          <w:kern w:val="2"/>
          <w:sz w:val="32"/>
          <w:szCs w:val="24"/>
          <w:lang w:val="zh-CN" w:eastAsia="zh-CN" w:bidi="ar-SA"/>
        </w:rPr>
        <w:t>组织区内用人单位参加各级人才交流活动；提供人力资源供求信息；完成全区的就业和再就业培训、职业指导工作；组织实施区内教育、卫生等社会事业专业技术人员的培训、研讨交流。</w:t>
      </w:r>
      <w:r>
        <w:rPr>
          <w:rFonts w:hint="eastAsia" w:ascii="Times New Roman" w:hAnsi="Times New Roman" w:eastAsia="仿宋" w:cs="Times New Roman"/>
          <w:kern w:val="2"/>
          <w:sz w:val="32"/>
          <w:szCs w:val="24"/>
          <w:lang w:val="en-US" w:eastAsia="zh-CN" w:bidi="ar-SA"/>
        </w:rPr>
        <w:t>圆满完成各项目标任务，整体绩效良好。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zh-CN" w:eastAsia="zh-CN" w:bidi="ar-SA"/>
        </w:rPr>
      </w:pPr>
      <w:r>
        <w:rPr>
          <w:rFonts w:hint="eastAsia" w:ascii="Times New Roman" w:hAnsi="Times New Roman" w:eastAsia="仿宋" w:cs="Times New Roman"/>
          <w:kern w:val="2"/>
          <w:sz w:val="32"/>
          <w:szCs w:val="24"/>
          <w:lang w:val="zh-CN" w:eastAsia="zh-CN" w:bidi="ar-SA"/>
        </w:rPr>
        <w:t>四、评价结论及建议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zh-CN" w:eastAsia="zh-CN" w:bidi="ar-SA"/>
        </w:rPr>
      </w:pPr>
      <w:r>
        <w:rPr>
          <w:rFonts w:hint="eastAsia" w:ascii="Times New Roman" w:hAnsi="Times New Roman" w:eastAsia="仿宋" w:cs="Times New Roman"/>
          <w:kern w:val="2"/>
          <w:sz w:val="32"/>
          <w:szCs w:val="24"/>
          <w:lang w:val="zh-CN" w:eastAsia="zh-CN" w:bidi="ar-SA"/>
        </w:rPr>
        <w:t>（一）评价结论。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2019年无年初预算。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zh-CN" w:eastAsia="zh-CN" w:bidi="ar-SA"/>
        </w:rPr>
      </w:pPr>
      <w:r>
        <w:rPr>
          <w:rFonts w:hint="eastAsia" w:ascii="Times New Roman" w:hAnsi="Times New Roman" w:eastAsia="仿宋" w:cs="Times New Roman"/>
          <w:kern w:val="2"/>
          <w:sz w:val="32"/>
          <w:szCs w:val="24"/>
          <w:lang w:val="zh-CN" w:eastAsia="zh-CN" w:bidi="ar-SA"/>
        </w:rPr>
        <w:t>（二）改进建议。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在今后的工作一方面要严格预算编制，做到细化精确；另一方面应充分预算实现的可能性和难度，正确测算收入、支出，并做好财务基础数据的统计工作，将单位的各项预算内外收支全部纳入单位预算，统一核算，统一管理，保证单位预算收支的完整性、准确性。</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pStyle w:val="3"/>
        <w:bidi w:val="0"/>
      </w:pPr>
      <w:bookmarkStart w:id="76" w:name="_Toc18333"/>
      <w:r>
        <w:rPr>
          <w:rFonts w:hint="eastAsia"/>
        </w:rPr>
        <w:t>附件2</w:t>
      </w:r>
      <w:bookmarkEnd w:id="76"/>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eastAsia="zh-CN"/>
        </w:rPr>
        <w:t>项目</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77" w:name="_Toc15396618"/>
      <w:bookmarkStart w:id="78" w:name="_Toc6974"/>
      <w:r>
        <w:rPr>
          <w:rFonts w:hint="eastAsia" w:ascii="黑体" w:hAnsi="黑体" w:eastAsia="黑体"/>
          <w:color w:val="000000"/>
          <w:sz w:val="44"/>
          <w:szCs w:val="44"/>
        </w:rPr>
        <w:t>第</w:t>
      </w:r>
      <w:r>
        <w:rPr>
          <w:rStyle w:val="24"/>
          <w:rFonts w:hint="eastAsia" w:ascii="黑体" w:hAnsi="黑体" w:eastAsia="黑体"/>
          <w:b w:val="0"/>
        </w:rPr>
        <w:t>五部分 附表</w:t>
      </w:r>
      <w:bookmarkEnd w:id="73"/>
      <w:bookmarkEnd w:id="77"/>
      <w:bookmarkEnd w:id="78"/>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79" w:name="_Toc15396619"/>
      <w:bookmarkStart w:id="80" w:name="_Toc9421"/>
      <w:r>
        <w:rPr>
          <w:rFonts w:hint="eastAsia" w:ascii="仿宋" w:hAnsi="仿宋" w:eastAsia="仿宋"/>
          <w:b w:val="0"/>
          <w:color w:val="000000"/>
        </w:rPr>
        <w:t>一、收</w:t>
      </w:r>
      <w:r>
        <w:rPr>
          <w:rStyle w:val="25"/>
          <w:rFonts w:hint="eastAsia" w:ascii="仿宋" w:hAnsi="仿宋" w:eastAsia="仿宋"/>
          <w:b w:val="0"/>
          <w:bCs w:val="0"/>
        </w:rPr>
        <w:t>入支出决算总表</w:t>
      </w:r>
      <w:bookmarkEnd w:id="79"/>
      <w:bookmarkEnd w:id="80"/>
    </w:p>
    <w:p>
      <w:pPr>
        <w:pStyle w:val="3"/>
        <w:rPr>
          <w:rFonts w:ascii="仿宋" w:hAnsi="仿宋" w:eastAsia="仿宋"/>
          <w:color w:val="000000"/>
        </w:rPr>
      </w:pPr>
      <w:bookmarkStart w:id="81" w:name="_Toc15396620"/>
      <w:bookmarkStart w:id="82" w:name="_Toc11768"/>
      <w:r>
        <w:rPr>
          <w:rFonts w:hint="eastAsia" w:ascii="仿宋" w:hAnsi="仿宋" w:eastAsia="仿宋"/>
          <w:b w:val="0"/>
          <w:color w:val="000000"/>
        </w:rPr>
        <w:t>二、收</w:t>
      </w:r>
      <w:r>
        <w:rPr>
          <w:rStyle w:val="25"/>
          <w:rFonts w:hint="eastAsia" w:ascii="仿宋" w:hAnsi="仿宋" w:eastAsia="仿宋"/>
          <w:b w:val="0"/>
          <w:bCs w:val="0"/>
        </w:rPr>
        <w:t>入决算表</w:t>
      </w:r>
      <w:bookmarkEnd w:id="81"/>
      <w:bookmarkEnd w:id="82"/>
    </w:p>
    <w:p>
      <w:pPr>
        <w:pStyle w:val="3"/>
        <w:rPr>
          <w:rFonts w:ascii="仿宋" w:hAnsi="仿宋" w:eastAsia="仿宋"/>
          <w:color w:val="000000"/>
        </w:rPr>
      </w:pPr>
      <w:bookmarkStart w:id="83" w:name="_Toc15396621"/>
      <w:bookmarkStart w:id="84" w:name="_Toc18273"/>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3"/>
      <w:bookmarkEnd w:id="84"/>
    </w:p>
    <w:p>
      <w:pPr>
        <w:pStyle w:val="3"/>
        <w:rPr>
          <w:rFonts w:ascii="仿宋" w:hAnsi="仿宋" w:eastAsia="仿宋"/>
          <w:b w:val="0"/>
          <w:color w:val="000000"/>
        </w:rPr>
      </w:pPr>
      <w:bookmarkStart w:id="85" w:name="_Toc15396622"/>
      <w:bookmarkStart w:id="86" w:name="_Toc10517"/>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5"/>
      <w:bookmarkEnd w:id="86"/>
    </w:p>
    <w:p>
      <w:pPr>
        <w:pStyle w:val="3"/>
        <w:rPr>
          <w:rStyle w:val="25"/>
          <w:rFonts w:ascii="仿宋" w:hAnsi="仿宋" w:eastAsia="仿宋"/>
          <w:b w:val="0"/>
          <w:bCs w:val="0"/>
        </w:rPr>
      </w:pPr>
      <w:bookmarkStart w:id="87" w:name="_Toc15396623"/>
      <w:bookmarkStart w:id="88" w:name="_Toc21537"/>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87"/>
      <w:bookmarkEnd w:id="88"/>
      <w:bookmarkStart w:id="89" w:name="_Toc15396624"/>
    </w:p>
    <w:p>
      <w:pPr>
        <w:pStyle w:val="3"/>
        <w:rPr>
          <w:rFonts w:ascii="仿宋" w:hAnsi="仿宋" w:eastAsia="仿宋"/>
          <w:color w:val="000000"/>
        </w:rPr>
      </w:pPr>
      <w:bookmarkStart w:id="90" w:name="_Toc5303"/>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89"/>
      <w:bookmarkEnd w:id="90"/>
    </w:p>
    <w:p>
      <w:pPr>
        <w:pStyle w:val="3"/>
        <w:rPr>
          <w:rFonts w:ascii="仿宋" w:hAnsi="仿宋" w:eastAsia="仿宋"/>
          <w:color w:val="000000"/>
        </w:rPr>
      </w:pPr>
      <w:bookmarkStart w:id="91" w:name="_Toc15396625"/>
      <w:bookmarkStart w:id="92" w:name="_Toc14131"/>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1"/>
      <w:bookmarkEnd w:id="92"/>
    </w:p>
    <w:p>
      <w:pPr>
        <w:pStyle w:val="3"/>
        <w:rPr>
          <w:rFonts w:ascii="仿宋" w:hAnsi="仿宋" w:eastAsia="仿宋"/>
          <w:color w:val="000000"/>
        </w:rPr>
      </w:pPr>
      <w:bookmarkStart w:id="93" w:name="_Toc15396626"/>
      <w:bookmarkStart w:id="94" w:name="_Toc26295"/>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3"/>
      <w:bookmarkEnd w:id="94"/>
    </w:p>
    <w:p>
      <w:pPr>
        <w:pStyle w:val="3"/>
        <w:rPr>
          <w:rFonts w:ascii="仿宋" w:hAnsi="仿宋" w:eastAsia="仿宋"/>
          <w:color w:val="000000"/>
        </w:rPr>
      </w:pPr>
      <w:bookmarkStart w:id="95" w:name="_Toc15396627"/>
      <w:bookmarkStart w:id="96" w:name="_Toc209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5"/>
      <w:bookmarkEnd w:id="96"/>
    </w:p>
    <w:p>
      <w:pPr>
        <w:pStyle w:val="3"/>
        <w:rPr>
          <w:rFonts w:ascii="仿宋" w:hAnsi="仿宋" w:eastAsia="仿宋"/>
          <w:color w:val="000000"/>
        </w:rPr>
      </w:pPr>
      <w:bookmarkStart w:id="97" w:name="_Toc15396628"/>
      <w:bookmarkStart w:id="98" w:name="_Toc29921"/>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97"/>
      <w:bookmarkEnd w:id="98"/>
    </w:p>
    <w:p>
      <w:pPr>
        <w:pStyle w:val="3"/>
        <w:rPr>
          <w:rFonts w:ascii="仿宋" w:hAnsi="仿宋" w:eastAsia="仿宋"/>
          <w:color w:val="000000"/>
        </w:rPr>
      </w:pPr>
      <w:bookmarkStart w:id="99" w:name="_Toc15396629"/>
      <w:bookmarkStart w:id="100" w:name="_Toc22508"/>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99"/>
      <w:bookmarkEnd w:id="100"/>
    </w:p>
    <w:p>
      <w:pPr>
        <w:pStyle w:val="3"/>
        <w:rPr>
          <w:rFonts w:ascii="仿宋" w:hAnsi="仿宋" w:eastAsia="仿宋"/>
          <w:color w:val="000000"/>
        </w:rPr>
      </w:pPr>
      <w:bookmarkStart w:id="101" w:name="_Toc15396630"/>
      <w:bookmarkStart w:id="102" w:name="_Toc7721"/>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1"/>
      <w:bookmarkEnd w:id="102"/>
    </w:p>
    <w:p>
      <w:pPr>
        <w:pStyle w:val="3"/>
        <w:rPr>
          <w:rFonts w:ascii="仿宋" w:hAnsi="仿宋" w:eastAsia="仿宋"/>
          <w:color w:val="000000" w:themeColor="text1"/>
          <w14:textFill>
            <w14:solidFill>
              <w14:schemeClr w14:val="tx1"/>
            </w14:solidFill>
          </w14:textFill>
        </w:rPr>
      </w:pPr>
      <w:bookmarkStart w:id="103" w:name="_Toc15396631"/>
      <w:bookmarkStart w:id="104" w:name="_Toc32069"/>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03"/>
      <w:bookmarkEnd w:id="10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B3C90"/>
    <w:multiLevelType w:val="singleLevel"/>
    <w:tmpl w:val="9B6B3C90"/>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4F85EAF"/>
    <w:multiLevelType w:val="multilevel"/>
    <w:tmpl w:val="34F85EAF"/>
    <w:lvl w:ilvl="0" w:tentative="0">
      <w:start w:val="1"/>
      <w:numFmt w:val="chineseCountingThousand"/>
      <w:pStyle w:val="31"/>
      <w:suff w:val="nothing"/>
      <w:lvlText w:val="%1、"/>
      <w:lvlJc w:val="left"/>
      <w:pPr>
        <w:ind w:left="0" w:firstLine="637"/>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5">
    <w:nsid w:val="7EE55BF3"/>
    <w:multiLevelType w:val="multilevel"/>
    <w:tmpl w:val="7EE55BF3"/>
    <w:lvl w:ilvl="0" w:tentative="0">
      <w:start w:val="1"/>
      <w:numFmt w:val="chineseCountingThousand"/>
      <w:pStyle w:val="32"/>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4049B"/>
    <w:rsid w:val="10C055FF"/>
    <w:rsid w:val="11EE243E"/>
    <w:rsid w:val="15E1302F"/>
    <w:rsid w:val="16BB723D"/>
    <w:rsid w:val="1E61004E"/>
    <w:rsid w:val="1EE41F71"/>
    <w:rsid w:val="209764A0"/>
    <w:rsid w:val="240371BF"/>
    <w:rsid w:val="29FD04D3"/>
    <w:rsid w:val="319F7F4E"/>
    <w:rsid w:val="39075131"/>
    <w:rsid w:val="4D6177C2"/>
    <w:rsid w:val="4ECE2238"/>
    <w:rsid w:val="50AE63D2"/>
    <w:rsid w:val="60663921"/>
    <w:rsid w:val="624E431C"/>
    <w:rsid w:val="68F11E0E"/>
    <w:rsid w:val="6C6A6E8A"/>
    <w:rsid w:val="719E7CC7"/>
    <w:rsid w:val="71CC131D"/>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1">
    <w:name w:val="〖B01〗一级标题"/>
    <w:next w:val="1"/>
    <w:qFormat/>
    <w:uiPriority w:val="0"/>
    <w:pPr>
      <w:numPr>
        <w:ilvl w:val="0"/>
        <w:numId w:val="1"/>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2">
    <w:name w:val="〖B02〗二级标题"/>
    <w:next w:val="1"/>
    <w:qFormat/>
    <w:uiPriority w:val="0"/>
    <w:pPr>
      <w:widowControl w:val="0"/>
      <w:numPr>
        <w:ilvl w:val="0"/>
        <w:numId w:val="2"/>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3">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43.6</c:v>
                </c:pt>
                <c:pt idx="1">
                  <c:v>43.6</c:v>
                </c:pt>
              </c:numCache>
            </c:numRef>
          </c:val>
        </c:ser>
        <c:dLbls>
          <c:showLegendKey val="0"/>
          <c:showVal val="0"/>
          <c:showCatName val="0"/>
          <c:showSerName val="0"/>
          <c:showPercent val="0"/>
          <c:showBubbleSize val="0"/>
        </c:dLbls>
        <c:gapWidth val="219"/>
        <c:overlap val="-27"/>
        <c:axId val="726915747"/>
        <c:axId val="939039098"/>
      </c:barChart>
      <c:catAx>
        <c:axId val="7269157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039098"/>
        <c:crosses val="autoZero"/>
        <c:auto val="1"/>
        <c:lblAlgn val="ctr"/>
        <c:lblOffset val="100"/>
        <c:noMultiLvlLbl val="0"/>
      </c:catAx>
      <c:valAx>
        <c:axId val="9390390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9157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43.6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33.81</c:v>
                </c:pt>
                <c:pt idx="1">
                  <c:v>9.79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26875"/>
          <c:y val="0.039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43.6</c:v>
                </c:pt>
                <c:pt idx="1">
                  <c:v>43.6</c:v>
                </c:pt>
              </c:numCache>
            </c:numRef>
          </c:val>
        </c:ser>
        <c:dLbls>
          <c:showLegendKey val="0"/>
          <c:showVal val="0"/>
          <c:showCatName val="0"/>
          <c:showSerName val="0"/>
          <c:showPercent val="0"/>
          <c:showBubbleSize val="0"/>
        </c:dLbls>
        <c:gapWidth val="219"/>
        <c:overlap val="-27"/>
        <c:axId val="633940282"/>
        <c:axId val="586331010"/>
      </c:barChart>
      <c:catAx>
        <c:axId val="6339402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6331010"/>
        <c:crosses val="autoZero"/>
        <c:auto val="1"/>
        <c:lblAlgn val="ctr"/>
        <c:lblOffset val="100"/>
        <c:noMultiLvlLbl val="0"/>
      </c:catAx>
      <c:valAx>
        <c:axId val="5863310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9402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86375"/>
          <c:y val="0.0366666666666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0</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43.6</c:v>
                </c:pt>
              </c:numCache>
            </c:numRef>
          </c:val>
        </c:ser>
        <c:dLbls>
          <c:showLegendKey val="0"/>
          <c:showVal val="0"/>
          <c:showCatName val="0"/>
          <c:showSerName val="0"/>
          <c:showPercent val="0"/>
          <c:showBubbleSize val="0"/>
        </c:dLbls>
        <c:gapWidth val="219"/>
        <c:overlap val="-27"/>
        <c:axId val="790456275"/>
        <c:axId val="904366986"/>
      </c:barChart>
      <c:catAx>
        <c:axId val="7904562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366986"/>
        <c:crosses val="autoZero"/>
        <c:auto val="1"/>
        <c:lblAlgn val="ctr"/>
        <c:lblOffset val="100"/>
        <c:noMultiLvlLbl val="0"/>
      </c:catAx>
      <c:valAx>
        <c:axId val="9043669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4562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3"/>
          <c:y val="0.093123209169054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一般公共服务支出</c:v>
                </c:pt>
              </c:strCache>
            </c:strRef>
          </c:cat>
          <c:val>
            <c:numRef>
              <c:f>Sheet1!$B$2</c:f>
              <c:numCache>
                <c:formatCode>General</c:formatCode>
                <c:ptCount val="1"/>
                <c:pt idx="0">
                  <c:v>43.6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8867585630744"/>
          <c:y val="0.102586842411928"/>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65045"/>
          <c:y val="0.173469905728789"/>
          <c:w val="0.44891"/>
          <c:h val="0.651065989847716"/>
        </c:manualLayout>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21"/>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735"/>
          <c:y val="0.9341914430746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15</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种花家</cp:lastModifiedBy>
  <cp:lastPrinted>2020-09-24T09:18:00Z</cp:lastPrinted>
  <dcterms:modified xsi:type="dcterms:W3CDTF">2021-07-09T01:21:09Z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A81CFEEF080E41DAB810F68D1433FAE3</vt:lpwstr>
  </property>
</Properties>
</file>