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467B2">
      <w:pPr>
        <w:spacing w:line="600" w:lineRule="exact"/>
        <w:jc w:val="center"/>
        <w:rPr>
          <w:rFonts w:ascii="方正小标宋简体" w:hAnsi="宋体" w:eastAsia="方正小标宋简体"/>
          <w:color w:val="000000"/>
          <w:sz w:val="72"/>
          <w:szCs w:val="72"/>
        </w:rPr>
      </w:pPr>
      <w:bookmarkStart w:id="0" w:name="_Toc15306267"/>
    </w:p>
    <w:p w14:paraId="2B6F1757">
      <w:pPr>
        <w:spacing w:line="600" w:lineRule="exact"/>
        <w:jc w:val="center"/>
        <w:rPr>
          <w:rFonts w:ascii="方正小标宋简体" w:hAnsi="宋体" w:eastAsia="方正小标宋简体"/>
          <w:color w:val="000000"/>
          <w:sz w:val="72"/>
          <w:szCs w:val="72"/>
        </w:rPr>
      </w:pPr>
    </w:p>
    <w:p w14:paraId="3614EE60">
      <w:pPr>
        <w:spacing w:line="600" w:lineRule="exact"/>
        <w:jc w:val="center"/>
        <w:rPr>
          <w:rFonts w:ascii="方正小标宋简体" w:hAnsi="宋体" w:eastAsia="方正小标宋简体"/>
          <w:color w:val="000000"/>
          <w:sz w:val="72"/>
          <w:szCs w:val="72"/>
        </w:rPr>
      </w:pPr>
    </w:p>
    <w:p w14:paraId="3B2D73E5">
      <w:pPr>
        <w:spacing w:line="600" w:lineRule="exact"/>
        <w:jc w:val="center"/>
        <w:rPr>
          <w:rFonts w:ascii="方正小标宋简体" w:hAnsi="宋体" w:eastAsia="方正小标宋简体"/>
          <w:color w:val="000000"/>
          <w:sz w:val="72"/>
          <w:szCs w:val="72"/>
        </w:rPr>
      </w:pPr>
    </w:p>
    <w:p w14:paraId="1B969696">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3368"/>
      <w:bookmarkStart w:id="3" w:name="_Toc15396597"/>
      <w:bookmarkStart w:id="4" w:name="_Toc15377425"/>
      <w:bookmarkStart w:id="5" w:name="_Toc15377193"/>
      <w:bookmarkStart w:id="6"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14:paraId="2B74F711">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476"/>
      <w:bookmarkStart w:id="8" w:name="_Toc15377194"/>
      <w:bookmarkStart w:id="9" w:name="_Toc15396598"/>
      <w:bookmarkStart w:id="10" w:name="_Toc25876"/>
      <w:bookmarkStart w:id="11" w:name="_Toc15378442"/>
      <w:bookmarkStart w:id="12" w:name="_Toc15377426"/>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乐山市高新技术产业开发区公共服务局部门决算</w:t>
      </w:r>
      <w:bookmarkEnd w:id="7"/>
      <w:bookmarkEnd w:id="8"/>
      <w:bookmarkEnd w:id="9"/>
      <w:bookmarkEnd w:id="10"/>
      <w:bookmarkEnd w:id="11"/>
      <w:bookmarkEnd w:id="12"/>
      <w:bookmarkEnd w:id="13"/>
    </w:p>
    <w:p w14:paraId="6CEF21F7">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3491CE6F">
      <w:pPr>
        <w:widowControl/>
        <w:jc w:val="center"/>
        <w:rPr>
          <w:rFonts w:ascii="黑体" w:hAnsi="黑体" w:eastAsia="黑体" w:cstheme="minorBidi"/>
          <w:sz w:val="28"/>
          <w:szCs w:val="28"/>
        </w:rPr>
      </w:pPr>
    </w:p>
    <w:p w14:paraId="51A42677">
      <w:pPr>
        <w:pStyle w:val="10"/>
        <w:rPr>
          <w:rFonts w:ascii="黑体" w:hAnsi="黑体" w:eastAsia="黑体"/>
        </w:rPr>
      </w:pPr>
      <w:r>
        <w:rPr>
          <w:rFonts w:hint="eastAsia"/>
        </w:rPr>
        <w:t>公开时间：2020年9月28日</w:t>
      </w:r>
      <w:bookmarkStart w:id="14" w:name="_Toc15396599"/>
      <w:bookmarkStart w:id="15" w:name="_Toc15377196"/>
    </w:p>
    <w:sdt>
      <w:sdtPr>
        <w:rPr>
          <w:rFonts w:ascii="宋体" w:hAnsi="宋体"/>
          <w:b/>
          <w:bCs/>
        </w:rPr>
        <w:id w:val="147473310"/>
        <w:docPartObj>
          <w:docPartGallery w:val="Table of Contents"/>
          <w:docPartUnique/>
        </w:docPartObj>
      </w:sdtPr>
      <w:sdtEndPr>
        <w:rPr>
          <w:rFonts w:hint="eastAsia" w:ascii="黑体" w:hAnsi="黑体" w:eastAsia="黑体"/>
          <w:b/>
          <w:bCs/>
          <w:kern w:val="44"/>
          <w:sz w:val="44"/>
          <w:szCs w:val="44"/>
        </w:rPr>
      </w:sdtEndPr>
      <w:sdtContent>
        <w:p w14:paraId="506D48B6">
          <w:pPr>
            <w:jc w:val="center"/>
            <w:rPr>
              <w:b/>
            </w:rPr>
          </w:pPr>
          <w:r>
            <w:rPr>
              <w:rFonts w:hint="eastAsia" w:ascii="黑体" w:hAnsi="黑体" w:eastAsia="黑体"/>
            </w:rPr>
            <w:fldChar w:fldCharType="begin"/>
          </w:r>
          <w:r>
            <w:rPr>
              <w:rFonts w:hint="eastAsia" w:ascii="黑体" w:hAnsi="黑体" w:eastAsia="黑体"/>
            </w:rPr>
            <w:instrText xml:space="preserve">TOC \o "1-2" \h \u </w:instrText>
          </w:r>
          <w:r>
            <w:rPr>
              <w:rFonts w:hint="eastAsia" w:ascii="黑体" w:hAnsi="黑体" w:eastAsia="黑体"/>
            </w:rPr>
            <w:fldChar w:fldCharType="separate"/>
          </w:r>
        </w:p>
        <w:p w14:paraId="2C4BF6C7">
          <w:pPr>
            <w:pStyle w:val="31"/>
            <w:tabs>
              <w:tab w:val="right" w:leader="dot" w:pos="8306"/>
            </w:tabs>
            <w:rPr>
              <w:rFonts w:ascii="仿宋" w:hAnsi="仿宋" w:eastAsia="仿宋" w:cs="仿宋"/>
              <w:b/>
              <w:sz w:val="28"/>
              <w:szCs w:val="28"/>
            </w:rPr>
          </w:pPr>
          <w:r>
            <w:fldChar w:fldCharType="begin"/>
          </w:r>
          <w:r>
            <w:instrText xml:space="preserve"> HYPERLINK \l "_Toc18436" </w:instrText>
          </w:r>
          <w:r>
            <w:fldChar w:fldCharType="separate"/>
          </w:r>
          <w:r>
            <w:rPr>
              <w:rFonts w:hint="eastAsia" w:ascii="仿宋" w:hAnsi="仿宋" w:eastAsia="仿宋" w:cs="仿宋"/>
              <w:b/>
              <w:sz w:val="28"/>
              <w:szCs w:val="28"/>
            </w:rPr>
            <w:t>第一部分 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_Toc18436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320BF50">
          <w:pPr>
            <w:pStyle w:val="32"/>
            <w:tabs>
              <w:tab w:val="right" w:leader="dot" w:pos="8306"/>
            </w:tabs>
            <w:ind w:left="420"/>
            <w:rPr>
              <w:rFonts w:ascii="仿宋" w:hAnsi="仿宋" w:eastAsia="仿宋" w:cs="仿宋"/>
              <w:sz w:val="28"/>
              <w:szCs w:val="28"/>
            </w:rPr>
          </w:pPr>
          <w:r>
            <w:fldChar w:fldCharType="begin"/>
          </w:r>
          <w:r>
            <w:instrText xml:space="preserve"> HYPERLINK \l "_Toc29468" </w:instrText>
          </w:r>
          <w: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_Toc29468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8F4CFB">
          <w:pPr>
            <w:pStyle w:val="32"/>
            <w:tabs>
              <w:tab w:val="right" w:leader="dot" w:pos="8306"/>
            </w:tabs>
            <w:ind w:left="420"/>
          </w:pPr>
          <w:r>
            <w:fldChar w:fldCharType="begin"/>
          </w:r>
          <w:r>
            <w:instrText xml:space="preserve"> HYPERLINK \l "_Toc6344"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_Toc6344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DBA2A2">
          <w:pPr>
            <w:pStyle w:val="31"/>
            <w:tabs>
              <w:tab w:val="right" w:leader="dot" w:pos="8306"/>
            </w:tabs>
            <w:rPr>
              <w:rFonts w:ascii="仿宋" w:hAnsi="仿宋" w:eastAsia="仿宋" w:cs="仿宋"/>
              <w:b/>
              <w:sz w:val="28"/>
              <w:szCs w:val="28"/>
            </w:rPr>
          </w:pPr>
          <w:r>
            <w:fldChar w:fldCharType="begin"/>
          </w:r>
          <w:r>
            <w:instrText xml:space="preserve"> HYPERLINK \l "_Toc2773" </w:instrText>
          </w:r>
          <w:r>
            <w:fldChar w:fldCharType="separate"/>
          </w:r>
          <w:r>
            <w:rPr>
              <w:rFonts w:hint="eastAsia" w:ascii="仿宋" w:hAnsi="仿宋" w:eastAsia="仿宋" w:cs="仿宋"/>
              <w:b/>
              <w:sz w:val="28"/>
              <w:szCs w:val="28"/>
            </w:rPr>
            <w:t>第二部分 2019年度部门决算情况说明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_Toc2773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E1AD945">
          <w:pPr>
            <w:pStyle w:val="32"/>
            <w:tabs>
              <w:tab w:val="right" w:leader="dot" w:pos="8306"/>
            </w:tabs>
            <w:ind w:left="420"/>
            <w:rPr>
              <w:rFonts w:ascii="仿宋" w:hAnsi="仿宋" w:eastAsia="仿宋" w:cs="仿宋"/>
              <w:sz w:val="28"/>
              <w:szCs w:val="28"/>
            </w:rPr>
          </w:pPr>
          <w:r>
            <w:fldChar w:fldCharType="begin"/>
          </w:r>
          <w:r>
            <w:instrText xml:space="preserve"> HYPERLINK \l "_Toc17327" </w:instrText>
          </w:r>
          <w:r>
            <w:fldChar w:fldCharType="separate"/>
          </w:r>
          <w:r>
            <w:rPr>
              <w:rFonts w:hint="eastAsia" w:ascii="仿宋" w:hAnsi="仿宋" w:eastAsia="仿宋" w:cs="仿宋"/>
              <w:sz w:val="28"/>
              <w:szCs w:val="28"/>
            </w:rPr>
            <w:t>一、收入支出决算总体情况说明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_Toc17327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40550A">
          <w:pPr>
            <w:pStyle w:val="32"/>
            <w:tabs>
              <w:tab w:val="right" w:leader="dot" w:pos="8306"/>
            </w:tabs>
            <w:ind w:left="420"/>
            <w:rPr>
              <w:rFonts w:ascii="仿宋" w:hAnsi="仿宋" w:eastAsia="仿宋" w:cs="仿宋"/>
              <w:sz w:val="28"/>
              <w:szCs w:val="28"/>
            </w:rPr>
          </w:pPr>
          <w:r>
            <w:fldChar w:fldCharType="begin"/>
          </w:r>
          <w:r>
            <w:instrText xml:space="preserve"> HYPERLINK \l "_Toc914" </w:instrText>
          </w:r>
          <w:r>
            <w:fldChar w:fldCharType="separate"/>
          </w:r>
          <w:r>
            <w:rPr>
              <w:rFonts w:hint="eastAsia" w:ascii="仿宋" w:hAnsi="仿宋" w:eastAsia="仿宋" w:cs="仿宋"/>
              <w:sz w:val="28"/>
              <w:szCs w:val="28"/>
            </w:rPr>
            <w:t>二、收入决算情况说明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_Toc914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6139D4">
          <w:pPr>
            <w:pStyle w:val="32"/>
            <w:tabs>
              <w:tab w:val="right" w:leader="dot" w:pos="8306"/>
            </w:tabs>
            <w:ind w:left="420"/>
            <w:rPr>
              <w:rFonts w:ascii="仿宋" w:hAnsi="仿宋" w:eastAsia="仿宋" w:cs="仿宋"/>
              <w:sz w:val="28"/>
              <w:szCs w:val="28"/>
            </w:rPr>
          </w:pPr>
          <w:r>
            <w:fldChar w:fldCharType="begin"/>
          </w:r>
          <w:r>
            <w:instrText xml:space="preserve"> HYPERLINK \l "_Toc12824" </w:instrText>
          </w:r>
          <w:r>
            <w:fldChar w:fldCharType="separate"/>
          </w:r>
          <w:r>
            <w:rPr>
              <w:rFonts w:hint="eastAsia" w:ascii="仿宋" w:hAnsi="仿宋" w:eastAsia="仿宋" w:cs="仿宋"/>
              <w:sz w:val="28"/>
              <w:szCs w:val="28"/>
            </w:rPr>
            <w:t>三、支出决算情况说明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_Toc12824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386FEA">
          <w:pPr>
            <w:pStyle w:val="32"/>
            <w:tabs>
              <w:tab w:val="right" w:leader="dot" w:pos="8306"/>
            </w:tabs>
            <w:ind w:left="420"/>
            <w:rPr>
              <w:rFonts w:ascii="仿宋" w:hAnsi="仿宋" w:eastAsia="仿宋" w:cs="仿宋"/>
              <w:sz w:val="28"/>
              <w:szCs w:val="28"/>
            </w:rPr>
          </w:pPr>
          <w:r>
            <w:fldChar w:fldCharType="begin"/>
          </w:r>
          <w:r>
            <w:instrText xml:space="preserve"> HYPERLINK \l "_Toc2609"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_Toc2609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4D5ACA">
          <w:pPr>
            <w:pStyle w:val="32"/>
            <w:tabs>
              <w:tab w:val="right" w:leader="dot" w:pos="8306"/>
            </w:tabs>
            <w:ind w:left="420"/>
            <w:rPr>
              <w:rFonts w:ascii="仿宋" w:hAnsi="仿宋" w:eastAsia="仿宋" w:cs="仿宋"/>
              <w:sz w:val="28"/>
              <w:szCs w:val="28"/>
            </w:rPr>
          </w:pPr>
          <w:r>
            <w:fldChar w:fldCharType="begin"/>
          </w:r>
          <w:r>
            <w:instrText xml:space="preserve"> HYPERLINK \l "_Toc14948"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_Toc14948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1396D8">
          <w:pPr>
            <w:pStyle w:val="32"/>
            <w:tabs>
              <w:tab w:val="right" w:leader="dot" w:pos="8306"/>
            </w:tabs>
            <w:ind w:left="420"/>
            <w:rPr>
              <w:rFonts w:ascii="仿宋" w:hAnsi="仿宋" w:eastAsia="仿宋" w:cs="仿宋"/>
              <w:sz w:val="28"/>
              <w:szCs w:val="28"/>
            </w:rPr>
          </w:pPr>
          <w:r>
            <w:fldChar w:fldCharType="begin"/>
          </w:r>
          <w:r>
            <w:instrText xml:space="preserve"> HYPERLINK \l "_Toc32248"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_Toc32248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8AC312">
          <w:pPr>
            <w:pStyle w:val="32"/>
            <w:tabs>
              <w:tab w:val="right" w:leader="dot" w:pos="8306"/>
            </w:tabs>
            <w:ind w:left="420"/>
            <w:rPr>
              <w:rFonts w:ascii="仿宋" w:hAnsi="仿宋" w:eastAsia="仿宋" w:cs="仿宋"/>
              <w:sz w:val="28"/>
              <w:szCs w:val="28"/>
            </w:rPr>
          </w:pPr>
          <w:r>
            <w:fldChar w:fldCharType="begin"/>
          </w:r>
          <w:r>
            <w:instrText xml:space="preserve"> HYPERLINK \l "_Toc15592"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_Toc15592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A70C8">
          <w:pPr>
            <w:pStyle w:val="32"/>
            <w:tabs>
              <w:tab w:val="right" w:leader="dot" w:pos="8306"/>
            </w:tabs>
            <w:ind w:left="420"/>
            <w:rPr>
              <w:rFonts w:ascii="仿宋" w:hAnsi="仿宋" w:eastAsia="仿宋" w:cs="仿宋"/>
              <w:sz w:val="28"/>
              <w:szCs w:val="28"/>
            </w:rPr>
          </w:pPr>
          <w:r>
            <w:fldChar w:fldCharType="begin"/>
          </w:r>
          <w:r>
            <w:instrText xml:space="preserve"> HYPERLINK \l "_Toc7211"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_Toc7211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E56675">
          <w:pPr>
            <w:pStyle w:val="32"/>
            <w:tabs>
              <w:tab w:val="right" w:leader="dot" w:pos="8306"/>
            </w:tabs>
            <w:ind w:left="420"/>
            <w:rPr>
              <w:rFonts w:ascii="仿宋" w:hAnsi="仿宋" w:eastAsia="仿宋" w:cs="仿宋"/>
              <w:sz w:val="28"/>
              <w:szCs w:val="28"/>
            </w:rPr>
          </w:pPr>
          <w:r>
            <w:fldChar w:fldCharType="begin"/>
          </w:r>
          <w:r>
            <w:instrText xml:space="preserve"> HYPERLINK \l "_Toc32454" </w:instrText>
          </w:r>
          <w:r>
            <w:fldChar w:fldCharType="separate"/>
          </w:r>
          <w:r>
            <w:rPr>
              <w:rFonts w:hint="eastAsia" w:ascii="仿宋" w:hAnsi="仿宋" w:eastAsia="仿宋" w:cs="仿宋"/>
              <w:sz w:val="28"/>
              <w:szCs w:val="28"/>
            </w:rPr>
            <w:t>九、国有资本经营预算支出决算情况说明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_Toc32454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C65ACF">
          <w:pPr>
            <w:pStyle w:val="32"/>
            <w:tabs>
              <w:tab w:val="right" w:leader="dot" w:pos="8306"/>
            </w:tabs>
            <w:ind w:left="420"/>
          </w:pPr>
          <w:r>
            <w:fldChar w:fldCharType="begin"/>
          </w:r>
          <w:r>
            <w:instrText xml:space="preserve"> HYPERLINK \l "_Toc15185"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_Toc15185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6EB67D">
          <w:pPr>
            <w:pStyle w:val="31"/>
            <w:tabs>
              <w:tab w:val="right" w:leader="dot" w:pos="8306"/>
            </w:tabs>
            <w:rPr>
              <w:rFonts w:ascii="仿宋" w:hAnsi="仿宋" w:eastAsia="仿宋" w:cs="仿宋"/>
              <w:b/>
              <w:sz w:val="28"/>
              <w:szCs w:val="28"/>
            </w:rPr>
          </w:pPr>
          <w:r>
            <w:fldChar w:fldCharType="begin"/>
          </w:r>
          <w:r>
            <w:instrText xml:space="preserve"> HYPERLINK \l "_Toc14600" </w:instrText>
          </w:r>
          <w: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_Toc14600 </w:instrText>
          </w:r>
          <w:r>
            <w:rPr>
              <w:rFonts w:hint="eastAsia" w:ascii="仿宋" w:hAnsi="仿宋" w:eastAsia="仿宋" w:cs="仿宋"/>
              <w:b/>
              <w:sz w:val="28"/>
              <w:szCs w:val="28"/>
            </w:rPr>
            <w:fldChar w:fldCharType="separate"/>
          </w:r>
          <w:r>
            <w:rPr>
              <w:rFonts w:hint="eastAsia" w:ascii="仿宋" w:hAnsi="仿宋" w:eastAsia="仿宋" w:cs="仿宋"/>
              <w:b/>
              <w:sz w:val="28"/>
              <w:szCs w:val="28"/>
            </w:rPr>
            <w:t>30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2E7EE86">
          <w:pPr>
            <w:pStyle w:val="31"/>
            <w:tabs>
              <w:tab w:val="right" w:leader="dot" w:pos="8306"/>
            </w:tabs>
            <w:rPr>
              <w:rFonts w:ascii="仿宋" w:hAnsi="仿宋" w:eastAsia="仿宋" w:cs="仿宋"/>
              <w:b/>
              <w:sz w:val="28"/>
              <w:szCs w:val="28"/>
            </w:rPr>
          </w:pPr>
          <w:r>
            <w:fldChar w:fldCharType="begin"/>
          </w:r>
          <w:r>
            <w:instrText xml:space="preserve"> HYPERLINK \l "_Toc17549" </w:instrText>
          </w:r>
          <w: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_Toc17549 </w:instrText>
          </w:r>
          <w:r>
            <w:rPr>
              <w:rFonts w:hint="eastAsia" w:ascii="仿宋" w:hAnsi="仿宋" w:eastAsia="仿宋" w:cs="仿宋"/>
              <w:b/>
              <w:sz w:val="28"/>
              <w:szCs w:val="28"/>
            </w:rPr>
            <w:fldChar w:fldCharType="separate"/>
          </w:r>
          <w:r>
            <w:rPr>
              <w:rFonts w:hint="eastAsia" w:ascii="仿宋" w:hAnsi="仿宋" w:eastAsia="仿宋" w:cs="仿宋"/>
              <w:b/>
              <w:sz w:val="28"/>
              <w:szCs w:val="28"/>
            </w:rPr>
            <w:t>34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B8DA3E6">
          <w:pPr>
            <w:pStyle w:val="31"/>
            <w:tabs>
              <w:tab w:val="right" w:leader="dot" w:pos="8306"/>
            </w:tabs>
            <w:rPr>
              <w:rFonts w:ascii="仿宋" w:hAnsi="仿宋" w:eastAsia="仿宋" w:cs="仿宋"/>
              <w:b/>
              <w:sz w:val="28"/>
              <w:szCs w:val="28"/>
            </w:rPr>
          </w:pPr>
          <w:r>
            <w:fldChar w:fldCharType="begin"/>
          </w:r>
          <w:r>
            <w:instrText xml:space="preserve"> HYPERLINK \l "_Toc30708" </w:instrText>
          </w:r>
          <w:r>
            <w:fldChar w:fldCharType="separate"/>
          </w:r>
          <w:r>
            <w:rPr>
              <w:rFonts w:hint="eastAsia" w:ascii="仿宋" w:hAnsi="仿宋" w:eastAsia="仿宋" w:cs="仿宋"/>
              <w:b/>
              <w:sz w:val="28"/>
              <w:szCs w:val="28"/>
            </w:rPr>
            <w:t>附件1</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_Toc30708 </w:instrText>
          </w:r>
          <w:r>
            <w:rPr>
              <w:rFonts w:hint="eastAsia" w:ascii="仿宋" w:hAnsi="仿宋" w:eastAsia="仿宋" w:cs="仿宋"/>
              <w:b/>
              <w:sz w:val="28"/>
              <w:szCs w:val="28"/>
            </w:rPr>
            <w:fldChar w:fldCharType="separate"/>
          </w:r>
          <w:r>
            <w:rPr>
              <w:rFonts w:hint="eastAsia" w:ascii="仿宋" w:hAnsi="仿宋" w:eastAsia="仿宋" w:cs="仿宋"/>
              <w:b/>
              <w:sz w:val="28"/>
              <w:szCs w:val="28"/>
            </w:rPr>
            <w:t>34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2039757">
          <w:pPr>
            <w:pStyle w:val="31"/>
            <w:tabs>
              <w:tab w:val="right" w:leader="dot" w:pos="8306"/>
            </w:tabs>
            <w:rPr>
              <w:b/>
            </w:rPr>
          </w:pPr>
          <w:r>
            <w:fldChar w:fldCharType="begin"/>
          </w:r>
          <w:r>
            <w:instrText xml:space="preserve"> HYPERLINK \l "_Toc8947" </w:instrText>
          </w:r>
          <w: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_Toc8947 </w:instrText>
          </w:r>
          <w:r>
            <w:rPr>
              <w:rFonts w:hint="eastAsia" w:ascii="仿宋" w:hAnsi="仿宋" w:eastAsia="仿宋" w:cs="仿宋"/>
              <w:b/>
              <w:sz w:val="28"/>
              <w:szCs w:val="28"/>
            </w:rPr>
            <w:fldChar w:fldCharType="separate"/>
          </w:r>
          <w:r>
            <w:rPr>
              <w:rFonts w:hint="eastAsia" w:ascii="仿宋" w:hAnsi="仿宋" w:eastAsia="仿宋" w:cs="仿宋"/>
              <w:b/>
              <w:sz w:val="28"/>
              <w:szCs w:val="28"/>
            </w:rPr>
            <w:t>39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D19154E">
          <w:pPr>
            <w:pStyle w:val="32"/>
            <w:tabs>
              <w:tab w:val="right" w:leader="dot" w:pos="8306"/>
            </w:tabs>
            <w:ind w:left="420"/>
            <w:rPr>
              <w:rFonts w:ascii="仿宋" w:hAnsi="仿宋" w:eastAsia="仿宋" w:cs="仿宋"/>
              <w:sz w:val="28"/>
              <w:szCs w:val="28"/>
            </w:rPr>
          </w:pPr>
          <w:r>
            <w:fldChar w:fldCharType="begin"/>
          </w:r>
          <w:r>
            <w:instrText xml:space="preserve"> HYPERLINK \l "_Toc22983"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_Toc22983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28E735E">
          <w:pPr>
            <w:pStyle w:val="32"/>
            <w:tabs>
              <w:tab w:val="right" w:leader="dot" w:pos="8306"/>
            </w:tabs>
            <w:ind w:left="420"/>
            <w:rPr>
              <w:rFonts w:ascii="仿宋" w:hAnsi="仿宋" w:eastAsia="仿宋" w:cs="仿宋"/>
              <w:sz w:val="28"/>
              <w:szCs w:val="28"/>
            </w:rPr>
          </w:pPr>
          <w:r>
            <w:fldChar w:fldCharType="begin"/>
          </w:r>
          <w:r>
            <w:instrText xml:space="preserve"> HYPERLINK \l "_Toc20817"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_Toc20817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D4EFA5">
          <w:pPr>
            <w:pStyle w:val="32"/>
            <w:tabs>
              <w:tab w:val="right" w:leader="dot" w:pos="8306"/>
            </w:tabs>
            <w:ind w:left="420"/>
            <w:rPr>
              <w:rFonts w:ascii="仿宋" w:hAnsi="仿宋" w:eastAsia="仿宋" w:cs="仿宋"/>
              <w:sz w:val="28"/>
              <w:szCs w:val="28"/>
            </w:rPr>
          </w:pPr>
          <w:r>
            <w:fldChar w:fldCharType="begin"/>
          </w:r>
          <w:r>
            <w:instrText xml:space="preserve"> HYPERLINK \l "_Toc25299"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_Toc25299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EE36BF">
          <w:pPr>
            <w:pStyle w:val="32"/>
            <w:tabs>
              <w:tab w:val="right" w:leader="dot" w:pos="8306"/>
            </w:tabs>
            <w:ind w:left="420"/>
            <w:rPr>
              <w:rFonts w:ascii="仿宋" w:hAnsi="仿宋" w:eastAsia="仿宋" w:cs="仿宋"/>
              <w:sz w:val="28"/>
              <w:szCs w:val="28"/>
            </w:rPr>
          </w:pPr>
          <w:r>
            <w:fldChar w:fldCharType="begin"/>
          </w:r>
          <w:r>
            <w:instrText xml:space="preserve"> HYPERLINK \l "_Toc8540"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_Toc8540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0F4396">
          <w:pPr>
            <w:pStyle w:val="32"/>
            <w:tabs>
              <w:tab w:val="right" w:leader="dot" w:pos="8306"/>
            </w:tabs>
            <w:ind w:left="420"/>
            <w:rPr>
              <w:rFonts w:ascii="仿宋" w:hAnsi="仿宋" w:eastAsia="仿宋" w:cs="仿宋"/>
              <w:sz w:val="28"/>
              <w:szCs w:val="28"/>
            </w:rPr>
          </w:pPr>
          <w:r>
            <w:fldChar w:fldCharType="begin"/>
          </w:r>
          <w:r>
            <w:instrText xml:space="preserve"> HYPERLINK \l "_Toc14915"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_Toc14915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8BE40D">
          <w:pPr>
            <w:pStyle w:val="32"/>
            <w:tabs>
              <w:tab w:val="right" w:leader="dot" w:pos="8306"/>
            </w:tabs>
            <w:ind w:left="420"/>
            <w:rPr>
              <w:rFonts w:ascii="仿宋" w:hAnsi="仿宋" w:eastAsia="仿宋" w:cs="仿宋"/>
              <w:sz w:val="28"/>
              <w:szCs w:val="28"/>
            </w:rPr>
          </w:pPr>
          <w:r>
            <w:fldChar w:fldCharType="begin"/>
          </w:r>
          <w:r>
            <w:instrText xml:space="preserve"> HYPERLINK \l "_Toc10492"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_Toc10492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E60026">
          <w:pPr>
            <w:pStyle w:val="32"/>
            <w:tabs>
              <w:tab w:val="right" w:leader="dot" w:pos="8306"/>
            </w:tabs>
            <w:ind w:left="420"/>
            <w:rPr>
              <w:rFonts w:ascii="仿宋" w:hAnsi="仿宋" w:eastAsia="仿宋" w:cs="仿宋"/>
              <w:sz w:val="28"/>
              <w:szCs w:val="28"/>
            </w:rPr>
          </w:pPr>
          <w:r>
            <w:fldChar w:fldCharType="begin"/>
          </w:r>
          <w:r>
            <w:instrText xml:space="preserve"> HYPERLINK \l "_Toc19384"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_Toc19384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666553">
          <w:pPr>
            <w:pStyle w:val="32"/>
            <w:tabs>
              <w:tab w:val="right" w:leader="dot" w:pos="8306"/>
            </w:tabs>
            <w:ind w:left="420"/>
            <w:rPr>
              <w:rFonts w:ascii="仿宋" w:hAnsi="仿宋" w:eastAsia="仿宋" w:cs="仿宋"/>
              <w:sz w:val="28"/>
              <w:szCs w:val="28"/>
            </w:rPr>
          </w:pPr>
          <w:r>
            <w:fldChar w:fldCharType="begin"/>
          </w:r>
          <w:r>
            <w:instrText xml:space="preserve"> HYPERLINK \l "_Toc1337"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_Toc1337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6249A3">
          <w:pPr>
            <w:pStyle w:val="32"/>
            <w:tabs>
              <w:tab w:val="right" w:leader="dot" w:pos="8306"/>
            </w:tabs>
            <w:ind w:left="420"/>
            <w:rPr>
              <w:rFonts w:ascii="仿宋" w:hAnsi="仿宋" w:eastAsia="仿宋" w:cs="仿宋"/>
              <w:sz w:val="28"/>
              <w:szCs w:val="28"/>
            </w:rPr>
          </w:pPr>
          <w:r>
            <w:fldChar w:fldCharType="begin"/>
          </w:r>
          <w:r>
            <w:instrText xml:space="preserve"> HYPERLINK \l "_Toc26694"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_Toc26694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A285B0">
          <w:pPr>
            <w:pStyle w:val="32"/>
            <w:tabs>
              <w:tab w:val="right" w:leader="dot" w:pos="8306"/>
            </w:tabs>
            <w:ind w:left="420"/>
            <w:rPr>
              <w:rFonts w:ascii="仿宋" w:hAnsi="仿宋" w:eastAsia="仿宋" w:cs="仿宋"/>
              <w:sz w:val="28"/>
              <w:szCs w:val="28"/>
            </w:rPr>
          </w:pPr>
          <w:r>
            <w:fldChar w:fldCharType="begin"/>
          </w:r>
          <w:r>
            <w:instrText xml:space="preserve"> HYPERLINK \l "_Toc29279"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_Toc29279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A90319">
          <w:pPr>
            <w:pStyle w:val="32"/>
            <w:tabs>
              <w:tab w:val="right" w:leader="dot" w:pos="8306"/>
            </w:tabs>
            <w:ind w:left="420"/>
          </w:pPr>
          <w:r>
            <w:fldChar w:fldCharType="begin"/>
          </w:r>
          <w:r>
            <w:instrText xml:space="preserve"> HYPERLINK \l "_Toc21635"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_Toc21635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3919BE">
          <w:pPr>
            <w:pStyle w:val="2"/>
            <w:rPr>
              <w:rFonts w:ascii="黑体" w:hAnsi="黑体" w:eastAsia="黑体"/>
              <w:b w:val="0"/>
            </w:rPr>
          </w:pPr>
          <w:r>
            <w:rPr>
              <w:rFonts w:hint="eastAsia" w:ascii="黑体" w:hAnsi="黑体" w:eastAsia="黑体"/>
            </w:rPr>
            <w:fldChar w:fldCharType="end"/>
          </w:r>
        </w:p>
      </w:sdtContent>
    </w:sdt>
    <w:p w14:paraId="083736A9">
      <w:pPr>
        <w:rPr>
          <w:rFonts w:ascii="黑体" w:hAnsi="黑体" w:eastAsia="黑体"/>
        </w:rPr>
      </w:pPr>
    </w:p>
    <w:p w14:paraId="58CE897E">
      <w:pPr>
        <w:rPr>
          <w:rFonts w:ascii="黑体" w:hAnsi="黑体" w:eastAsia="黑体"/>
        </w:rPr>
      </w:pPr>
    </w:p>
    <w:p w14:paraId="633F8D9E">
      <w:pPr>
        <w:rPr>
          <w:rFonts w:ascii="黑体" w:hAnsi="黑体" w:eastAsia="黑体"/>
        </w:rPr>
      </w:pPr>
    </w:p>
    <w:p w14:paraId="69866B67">
      <w:pPr>
        <w:rPr>
          <w:rFonts w:ascii="黑体" w:hAnsi="黑体" w:eastAsia="黑体"/>
        </w:rPr>
      </w:pPr>
    </w:p>
    <w:p w14:paraId="36193A50">
      <w:pPr>
        <w:rPr>
          <w:rFonts w:ascii="黑体" w:hAnsi="黑体" w:eastAsia="黑体"/>
        </w:rPr>
      </w:pPr>
    </w:p>
    <w:p w14:paraId="3044DCC0">
      <w:pPr>
        <w:rPr>
          <w:rFonts w:ascii="黑体" w:hAnsi="黑体" w:eastAsia="黑体"/>
        </w:rPr>
      </w:pPr>
    </w:p>
    <w:p w14:paraId="7ADAE146">
      <w:pPr>
        <w:rPr>
          <w:rFonts w:ascii="黑体" w:hAnsi="黑体" w:eastAsia="黑体"/>
        </w:rPr>
      </w:pPr>
    </w:p>
    <w:p w14:paraId="334E7D0A">
      <w:pPr>
        <w:rPr>
          <w:rFonts w:ascii="黑体" w:hAnsi="黑体" w:eastAsia="黑体"/>
        </w:rPr>
      </w:pPr>
    </w:p>
    <w:p w14:paraId="7F395BA1">
      <w:pPr>
        <w:rPr>
          <w:rFonts w:ascii="黑体" w:hAnsi="黑体" w:eastAsia="黑体"/>
        </w:rPr>
      </w:pPr>
    </w:p>
    <w:p w14:paraId="7E1905DA">
      <w:pPr>
        <w:rPr>
          <w:rFonts w:ascii="黑体" w:hAnsi="黑体" w:eastAsia="黑体"/>
        </w:rPr>
      </w:pPr>
    </w:p>
    <w:p w14:paraId="2769D316">
      <w:pPr>
        <w:rPr>
          <w:rFonts w:ascii="黑体" w:hAnsi="黑体" w:eastAsia="黑体"/>
        </w:rPr>
      </w:pPr>
    </w:p>
    <w:p w14:paraId="6E0B8F97">
      <w:pPr>
        <w:rPr>
          <w:rFonts w:ascii="黑体" w:hAnsi="黑体" w:eastAsia="黑体"/>
        </w:rPr>
      </w:pPr>
    </w:p>
    <w:p w14:paraId="7BBB526D">
      <w:pPr>
        <w:rPr>
          <w:rFonts w:ascii="黑体" w:hAnsi="黑体" w:eastAsia="黑体"/>
        </w:rPr>
      </w:pPr>
    </w:p>
    <w:p w14:paraId="701DD712">
      <w:pPr>
        <w:rPr>
          <w:rFonts w:ascii="黑体" w:hAnsi="黑体" w:eastAsia="黑体"/>
        </w:rPr>
      </w:pPr>
    </w:p>
    <w:p w14:paraId="50274F75">
      <w:pPr>
        <w:rPr>
          <w:rFonts w:ascii="黑体" w:hAnsi="黑体" w:eastAsia="黑体"/>
        </w:rPr>
      </w:pPr>
    </w:p>
    <w:p w14:paraId="1159122F">
      <w:pPr>
        <w:rPr>
          <w:rFonts w:ascii="黑体" w:hAnsi="黑体" w:eastAsia="黑体"/>
        </w:rPr>
      </w:pPr>
    </w:p>
    <w:p w14:paraId="4882792C">
      <w:pPr>
        <w:rPr>
          <w:rFonts w:ascii="黑体" w:hAnsi="黑体" w:eastAsia="黑体"/>
        </w:rPr>
      </w:pPr>
    </w:p>
    <w:p w14:paraId="2E01710C">
      <w:pPr>
        <w:rPr>
          <w:rFonts w:ascii="黑体" w:hAnsi="黑体" w:eastAsia="黑体"/>
        </w:rPr>
      </w:pPr>
    </w:p>
    <w:p w14:paraId="1F934F1E">
      <w:pPr>
        <w:rPr>
          <w:rFonts w:ascii="黑体" w:hAnsi="黑体" w:eastAsia="黑体"/>
        </w:rPr>
      </w:pPr>
    </w:p>
    <w:p w14:paraId="6C5AB65C">
      <w:pPr>
        <w:pStyle w:val="2"/>
        <w:jc w:val="center"/>
        <w:rPr>
          <w:rFonts w:ascii="黑体" w:hAnsi="黑体" w:eastAsia="黑体" w:cs="黑体"/>
          <w:b w:val="0"/>
          <w:bCs w:val="0"/>
        </w:rPr>
      </w:pPr>
      <w:bookmarkStart w:id="16" w:name="_Toc18436"/>
      <w:r>
        <w:rPr>
          <w:rFonts w:hint="eastAsia" w:ascii="黑体" w:hAnsi="黑体" w:eastAsia="黑体" w:cs="黑体"/>
          <w:b w:val="0"/>
          <w:bCs w:val="0"/>
        </w:rPr>
        <w:t>第一部分 部门概况</w:t>
      </w:r>
      <w:bookmarkEnd w:id="14"/>
      <w:bookmarkEnd w:id="15"/>
      <w:bookmarkEnd w:id="16"/>
    </w:p>
    <w:p w14:paraId="1421F21D">
      <w:pPr>
        <w:pStyle w:val="3"/>
        <w:rPr>
          <w:rFonts w:ascii="黑体" w:hAnsi="黑体" w:eastAsia="黑体" w:cs="黑体"/>
          <w:b w:val="0"/>
          <w:bCs w:val="0"/>
        </w:rPr>
      </w:pPr>
      <w:bookmarkStart w:id="17" w:name="_Toc15396600"/>
      <w:bookmarkStart w:id="18" w:name="_Toc15377197"/>
      <w:bookmarkStart w:id="19" w:name="_Toc29468"/>
      <w:r>
        <w:rPr>
          <w:rFonts w:hint="eastAsia" w:ascii="黑体" w:hAnsi="黑体" w:eastAsia="黑体" w:cs="黑体"/>
          <w:b w:val="0"/>
          <w:bCs w:val="0"/>
        </w:rPr>
        <w:t>一、基本职能及主要工作</w:t>
      </w:r>
      <w:bookmarkEnd w:id="17"/>
      <w:bookmarkEnd w:id="18"/>
      <w:bookmarkEnd w:id="19"/>
    </w:p>
    <w:p w14:paraId="7F26BC06">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7198"/>
      <w:bookmarkStart w:id="21" w:name="_Toc15378445"/>
      <w:r>
        <w:rPr>
          <w:rFonts w:hint="eastAsia" w:ascii="仿宋" w:hAnsi="仿宋" w:eastAsia="仿宋"/>
          <w:bCs/>
          <w:color w:val="000000"/>
          <w:sz w:val="32"/>
          <w:szCs w:val="32"/>
        </w:rPr>
        <w:t>（一）主要职能。</w:t>
      </w:r>
    </w:p>
    <w:p w14:paraId="23DF541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负责拟定全区公共服务事业发展总体规划并组织实施；负责教育、卫生健康、医疗保障、医疗救助、文化新旅、体育、广播电视电影、新闻出版、民族宗教、农业农村、扶贫开发、供销合作、老龄委等相关工作。承担党工委、管委会交办的其他工作任务。 </w:t>
      </w:r>
    </w:p>
    <w:bookmarkEnd w:id="20"/>
    <w:bookmarkEnd w:id="21"/>
    <w:p w14:paraId="4893B4A4">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2" w:name="_Toc15377199"/>
      <w:bookmarkStart w:id="23"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2"/>
      <w:bookmarkEnd w:id="23"/>
    </w:p>
    <w:p w14:paraId="0C6351D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1、稳步推进牵头项目。乐山高新区嘉祥外国语学校已完成一期项目建设任务，并于2019年9月正式开学；乐山国家高新区实验小学已完成主体结构封顶，正在开展内部装修和外墙贴砖等。</w:t>
      </w:r>
    </w:p>
    <w:p w14:paraId="14F8A788">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扎实开展脱贫攻坚工作。全面完成市上下达贫困户持续巩固提升任务，完成2户贫困户院坝硬化；全年对17名贫困户在校生实施教育扶贫；开发农村公益性岗位22个；落实低保贫困户60户152人；实现医疗保障全覆盖等。</w:t>
      </w:r>
    </w:p>
    <w:p w14:paraId="01828C3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3、扎实推进乡村振兴工作。组织召开乡村振兴联席会议4次，争取财政资金40万元，启动高新区乡村振兴规划；积极申请村级集体经济省级100万元扶持项目。</w:t>
      </w:r>
    </w:p>
    <w:p w14:paraId="7AF38FDB">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认真推进“双创”工作。投入2.2亿，完成大渡河桥头绿化带景观打造、区内道路黑化硬化、公厕改造、农贸市场改造提升、环卫基础设施增设，病媒生物防制等高新区形象工程提升，签订“门前三包”、“门前五包”责任书5300余份，发放宣传手册4万余份，张贴宣传画1100余幅、公益广告6.8万幅，制作墙体喷绘、标语8幅、温馨提示牌及各类标识标牌300余个，设置49个健康教育专栏和宣传展板37个。</w:t>
      </w:r>
    </w:p>
    <w:p w14:paraId="67AC7CF7">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持续推进公共服务事业发展。围绕中心，服务大局，扎实有序的推进公共服务事业发展。一是投入资金约3200万元用于教育支出，用于教师福利待遇、师资队伍培训、学校维修加固、减免义务教育阶段2656名学生实施“三免一补”政策、减免学前教育152名在园幼儿保教费、减免22名精准扶贫学生教学帮扶，向市争取项目资金110万元用于高新区实验幼儿园和安谷镇中心校幼儿园维修、改造。</w:t>
      </w:r>
    </w:p>
    <w:p w14:paraId="4ECAF45E">
      <w:pPr>
        <w:pStyle w:val="5"/>
        <w:adjustRightInd w:val="0"/>
        <w:snapToGrid w:val="0"/>
        <w:spacing w:before="93" w:line="600" w:lineRule="exact"/>
        <w:ind w:firstLine="672" w:firstLineChars="210"/>
        <w:rPr>
          <w:rFonts w:ascii="仿宋" w:hAnsi="仿宋" w:eastAsia="仿宋"/>
          <w:bCs/>
          <w:color w:val="000000"/>
          <w:sz w:val="32"/>
          <w:szCs w:val="32"/>
        </w:rPr>
      </w:pPr>
    </w:p>
    <w:p w14:paraId="673E07F3">
      <w:pPr>
        <w:pStyle w:val="3"/>
        <w:rPr>
          <w:rFonts w:ascii="黑体" w:hAnsi="黑体" w:eastAsia="黑体" w:cs="黑体"/>
          <w:b w:val="0"/>
          <w:bCs w:val="0"/>
        </w:rPr>
      </w:pPr>
      <w:bookmarkStart w:id="24" w:name="_Toc15396601"/>
      <w:bookmarkStart w:id="25" w:name="_Toc15377200"/>
      <w:bookmarkStart w:id="26" w:name="_Toc6344"/>
      <w:r>
        <w:rPr>
          <w:rFonts w:hint="eastAsia" w:ascii="黑体" w:hAnsi="黑体" w:eastAsia="黑体" w:cs="黑体"/>
          <w:b w:val="0"/>
          <w:bCs w:val="0"/>
        </w:rPr>
        <w:t>二、机构设置</w:t>
      </w:r>
      <w:bookmarkEnd w:id="24"/>
      <w:bookmarkEnd w:id="25"/>
      <w:bookmarkEnd w:id="26"/>
    </w:p>
    <w:p w14:paraId="0D082932">
      <w:pPr>
        <w:ind w:firstLine="800" w:firstLineChars="250"/>
        <w:rPr>
          <w:rFonts w:ascii="仿宋" w:hAnsi="仿宋" w:eastAsia="仿宋"/>
          <w:sz w:val="32"/>
          <w:szCs w:val="32"/>
        </w:rPr>
      </w:pPr>
      <w:r>
        <w:rPr>
          <w:rFonts w:hint="eastAsia" w:ascii="仿宋" w:hAnsi="仿宋" w:eastAsia="仿宋"/>
          <w:sz w:val="32"/>
          <w:szCs w:val="32"/>
        </w:rPr>
        <w:t>四川省乐山市高新技术产业开发区公共服务局下属二级单位0个，其中行政单位0个，参照公务员法管理的事业单位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bookmarkStart w:id="27" w:name="_Toc15396602"/>
      <w:bookmarkStart w:id="28" w:name="_Toc15377204"/>
    </w:p>
    <w:p w14:paraId="7FB70450">
      <w:pPr>
        <w:ind w:firstLine="800" w:firstLineChars="250"/>
        <w:rPr>
          <w:rFonts w:ascii="仿宋" w:hAnsi="仿宋" w:eastAsia="仿宋"/>
          <w:sz w:val="32"/>
          <w:szCs w:val="32"/>
        </w:rPr>
      </w:pPr>
    </w:p>
    <w:p w14:paraId="78FC0642">
      <w:pPr>
        <w:pStyle w:val="2"/>
        <w:jc w:val="center"/>
        <w:rPr>
          <w:rFonts w:ascii="黑体" w:hAnsi="黑体" w:eastAsia="黑体" w:cs="黑体"/>
          <w:b w:val="0"/>
          <w:bCs w:val="0"/>
        </w:rPr>
      </w:pPr>
      <w:bookmarkStart w:id="29" w:name="_Toc2773"/>
      <w:r>
        <w:rPr>
          <w:rFonts w:hint="eastAsia" w:ascii="黑体" w:hAnsi="黑体" w:eastAsia="黑体" w:cs="黑体"/>
          <w:b w:val="0"/>
          <w:bCs w:val="0"/>
        </w:rPr>
        <w:t>第二部分 2019年度部门决算情况说明</w:t>
      </w:r>
      <w:bookmarkEnd w:id="27"/>
      <w:bookmarkEnd w:id="28"/>
      <w:bookmarkEnd w:id="29"/>
    </w:p>
    <w:p w14:paraId="40C94C91"/>
    <w:p w14:paraId="6D751B73">
      <w:pPr>
        <w:pStyle w:val="3"/>
        <w:rPr>
          <w:rFonts w:ascii="黑体" w:hAnsi="黑体" w:eastAsia="黑体" w:cs="黑体"/>
          <w:b w:val="0"/>
          <w:bCs w:val="0"/>
        </w:rPr>
      </w:pPr>
      <w:bookmarkStart w:id="30" w:name="_Toc15396603"/>
      <w:bookmarkStart w:id="31" w:name="_Toc15377205"/>
      <w:bookmarkStart w:id="32" w:name="_Toc17327"/>
      <w:r>
        <w:rPr>
          <w:rFonts w:hint="eastAsia" w:ascii="黑体" w:hAnsi="黑体" w:eastAsia="黑体" w:cs="黑体"/>
          <w:b w:val="0"/>
          <w:bCs w:val="0"/>
        </w:rPr>
        <w:t>一、收入支出决算总体情况说明</w:t>
      </w:r>
      <w:bookmarkEnd w:id="30"/>
      <w:bookmarkEnd w:id="31"/>
      <w:bookmarkEnd w:id="32"/>
    </w:p>
    <w:p w14:paraId="38B5738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2019年度收入总计2721.63万元、支出总计2265.63万元。与2018年相比，收入总计增加564.01万元，增长26.14%，支出总计增加423.53万元，增长22.99</w:t>
      </w:r>
      <w:r>
        <w:rPr>
          <w:rFonts w:ascii="仿宋" w:hAnsi="仿宋" w:eastAsia="仿宋"/>
          <w:color w:val="000000"/>
          <w:sz w:val="32"/>
          <w:szCs w:val="32"/>
        </w:rPr>
        <w:t>%</w:t>
      </w:r>
      <w:r>
        <w:rPr>
          <w:rFonts w:hint="eastAsia" w:ascii="仿宋" w:hAnsi="仿宋" w:eastAsia="仿宋"/>
          <w:color w:val="000000"/>
          <w:sz w:val="32"/>
          <w:szCs w:val="32"/>
        </w:rPr>
        <w:t>。主要变动原因是本单位机改增加收入270万元，市中区2019年耕地地力补贴220万，2018年稻谷补贴48万，农业发展补助25万；机构改革后增加移民项目支出98万，农业项目支出357万。</w:t>
      </w:r>
    </w:p>
    <w:p w14:paraId="0F35DEFE">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59264" behindDoc="0" locked="0" layoutInCell="1" allowOverlap="1">
            <wp:simplePos x="0" y="0"/>
            <wp:positionH relativeFrom="column">
              <wp:posOffset>318770</wp:posOffset>
            </wp:positionH>
            <wp:positionV relativeFrom="paragraph">
              <wp:posOffset>24130</wp:posOffset>
            </wp:positionV>
            <wp:extent cx="4500245" cy="3505200"/>
            <wp:effectExtent l="4445" t="4445" r="10160" b="717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22C11C7">
      <w:pPr>
        <w:spacing w:line="600" w:lineRule="exact"/>
        <w:ind w:firstLine="640" w:firstLineChars="200"/>
        <w:rPr>
          <w:rFonts w:ascii="仿宋" w:hAnsi="仿宋" w:eastAsia="仿宋"/>
          <w:color w:val="000000"/>
          <w:sz w:val="32"/>
          <w:szCs w:val="32"/>
        </w:rPr>
      </w:pPr>
    </w:p>
    <w:p w14:paraId="6A43A987">
      <w:pPr>
        <w:spacing w:line="600" w:lineRule="exact"/>
        <w:ind w:firstLine="640" w:firstLineChars="200"/>
        <w:rPr>
          <w:rFonts w:ascii="仿宋" w:hAnsi="仿宋" w:eastAsia="仿宋"/>
          <w:color w:val="000000"/>
          <w:sz w:val="32"/>
          <w:szCs w:val="32"/>
        </w:rPr>
      </w:pPr>
    </w:p>
    <w:p w14:paraId="2DDC8DB0">
      <w:pPr>
        <w:spacing w:line="600" w:lineRule="exact"/>
        <w:ind w:firstLine="640" w:firstLineChars="200"/>
        <w:rPr>
          <w:rFonts w:ascii="仿宋" w:hAnsi="仿宋" w:eastAsia="仿宋"/>
          <w:color w:val="000000"/>
          <w:sz w:val="32"/>
          <w:szCs w:val="32"/>
        </w:rPr>
      </w:pPr>
    </w:p>
    <w:p w14:paraId="0DFE5778">
      <w:pPr>
        <w:spacing w:line="600" w:lineRule="exact"/>
        <w:ind w:firstLine="640" w:firstLineChars="200"/>
        <w:rPr>
          <w:rFonts w:ascii="仿宋" w:hAnsi="仿宋" w:eastAsia="仿宋"/>
          <w:color w:val="000000"/>
          <w:sz w:val="32"/>
          <w:szCs w:val="32"/>
        </w:rPr>
      </w:pPr>
    </w:p>
    <w:p w14:paraId="05102445">
      <w:pPr>
        <w:spacing w:line="600" w:lineRule="exact"/>
        <w:ind w:firstLine="640" w:firstLineChars="200"/>
        <w:rPr>
          <w:rFonts w:ascii="仿宋" w:hAnsi="仿宋" w:eastAsia="仿宋"/>
          <w:color w:val="000000"/>
          <w:sz w:val="32"/>
          <w:szCs w:val="32"/>
        </w:rPr>
      </w:pPr>
    </w:p>
    <w:p w14:paraId="44F49889">
      <w:pPr>
        <w:spacing w:line="600" w:lineRule="exact"/>
        <w:ind w:firstLine="640" w:firstLineChars="200"/>
        <w:rPr>
          <w:rFonts w:ascii="仿宋" w:hAnsi="仿宋" w:eastAsia="仿宋"/>
          <w:color w:val="000000"/>
          <w:sz w:val="32"/>
          <w:szCs w:val="32"/>
        </w:rPr>
      </w:pPr>
    </w:p>
    <w:p w14:paraId="00FF192D">
      <w:pPr>
        <w:spacing w:line="600" w:lineRule="exact"/>
        <w:ind w:firstLine="640" w:firstLineChars="200"/>
        <w:rPr>
          <w:rFonts w:ascii="仿宋" w:hAnsi="仿宋" w:eastAsia="仿宋"/>
          <w:color w:val="000000"/>
          <w:sz w:val="32"/>
          <w:szCs w:val="32"/>
        </w:rPr>
      </w:pPr>
    </w:p>
    <w:p w14:paraId="103F00BE">
      <w:pPr>
        <w:spacing w:line="600" w:lineRule="exact"/>
        <w:ind w:firstLine="640" w:firstLineChars="200"/>
        <w:rPr>
          <w:rFonts w:ascii="仿宋" w:hAnsi="仿宋" w:eastAsia="仿宋"/>
          <w:color w:val="000000"/>
          <w:sz w:val="32"/>
          <w:szCs w:val="32"/>
        </w:rPr>
      </w:pPr>
    </w:p>
    <w:p w14:paraId="636860C7">
      <w:pPr>
        <w:spacing w:line="600" w:lineRule="exact"/>
        <w:ind w:firstLine="640" w:firstLineChars="200"/>
        <w:rPr>
          <w:rFonts w:ascii="仿宋" w:hAnsi="仿宋" w:eastAsia="仿宋"/>
          <w:color w:val="000000"/>
          <w:sz w:val="32"/>
          <w:szCs w:val="32"/>
        </w:rPr>
      </w:pPr>
    </w:p>
    <w:p w14:paraId="37EA5FD4">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14:paraId="6C355E11">
      <w:pPr>
        <w:spacing w:line="600" w:lineRule="exact"/>
        <w:ind w:firstLine="640" w:firstLineChars="200"/>
        <w:jc w:val="left"/>
        <w:rPr>
          <w:rFonts w:ascii="仿宋_GB2312" w:eastAsia="仿宋_GB2312"/>
          <w:color w:val="000000"/>
          <w:sz w:val="32"/>
          <w:szCs w:val="32"/>
        </w:rPr>
      </w:pPr>
    </w:p>
    <w:p w14:paraId="67EC1E1C">
      <w:pPr>
        <w:pStyle w:val="3"/>
        <w:ind w:firstLine="640" w:firstLineChars="200"/>
        <w:rPr>
          <w:rFonts w:ascii="黑体" w:hAnsi="黑体" w:eastAsia="黑体" w:cs="黑体"/>
          <w:b w:val="0"/>
          <w:bCs w:val="0"/>
        </w:rPr>
      </w:pPr>
      <w:bookmarkStart w:id="33" w:name="_Toc914"/>
      <w:bookmarkStart w:id="34" w:name="_Toc15396604"/>
      <w:bookmarkStart w:id="35" w:name="_Toc15377206"/>
      <w:r>
        <w:rPr>
          <w:rFonts w:hint="eastAsia" w:ascii="黑体" w:hAnsi="黑体" w:eastAsia="黑体" w:cs="黑体"/>
          <w:b w:val="0"/>
          <w:bCs w:val="0"/>
        </w:rPr>
        <w:t>二、收入决算情况说明</w:t>
      </w:r>
      <w:bookmarkEnd w:id="33"/>
      <w:bookmarkEnd w:id="34"/>
      <w:bookmarkEnd w:id="35"/>
    </w:p>
    <w:p w14:paraId="52E9EEF0">
      <w:pPr>
        <w:spacing w:line="600" w:lineRule="exact"/>
        <w:ind w:firstLine="640" w:firstLineChars="200"/>
        <w:outlineLvl w:val="1"/>
        <w:rPr>
          <w:rFonts w:ascii="仿宋" w:hAnsi="仿宋" w:eastAsia="仿宋"/>
          <w:color w:val="000000"/>
          <w:sz w:val="32"/>
          <w:szCs w:val="32"/>
        </w:rPr>
      </w:pPr>
      <w:bookmarkStart w:id="36" w:name="_Toc32323"/>
      <w:r>
        <w:rPr>
          <w:rFonts w:ascii="仿宋" w:hAnsi="仿宋" w:eastAsia="仿宋"/>
          <w:color w:val="000000"/>
          <w:sz w:val="32"/>
          <w:szCs w:val="32"/>
        </w:rPr>
        <w:t>201</w:t>
      </w:r>
      <w:r>
        <w:rPr>
          <w:rFonts w:hint="eastAsia" w:ascii="仿宋" w:hAnsi="仿宋" w:eastAsia="仿宋"/>
          <w:color w:val="000000"/>
          <w:sz w:val="32"/>
          <w:szCs w:val="32"/>
        </w:rPr>
        <w:t>9年本年收入合计2721.63万元，其中：一般公共预算财政拨款收入1654.15万元，占60.78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；政府性基金预算财政拨款收入773.46万元，占28.42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；其他收入294.02万元，占10.80</w:t>
      </w:r>
      <w:r>
        <w:rPr>
          <w:rFonts w:ascii="仿宋" w:hAnsi="仿宋" w:eastAsia="仿宋"/>
          <w:color w:val="000000"/>
          <w:sz w:val="32"/>
          <w:szCs w:val="32"/>
        </w:rPr>
        <w:t>%</w:t>
      </w:r>
      <w:r>
        <w:rPr>
          <w:rFonts w:hint="eastAsia" w:ascii="仿宋" w:hAnsi="仿宋" w:eastAsia="仿宋"/>
          <w:color w:val="000000"/>
          <w:sz w:val="32"/>
          <w:szCs w:val="32"/>
        </w:rPr>
        <w:t>。</w:t>
      </w:r>
      <w:bookmarkEnd w:id="36"/>
    </w:p>
    <w:p w14:paraId="52D1BA25">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490220</wp:posOffset>
            </wp:positionH>
            <wp:positionV relativeFrom="paragraph">
              <wp:posOffset>156845</wp:posOffset>
            </wp:positionV>
            <wp:extent cx="4032250" cy="3239135"/>
            <wp:effectExtent l="4445" t="4445" r="20955" b="13970"/>
            <wp:wrapSquare wrapText="bothSides"/>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7BEE5CA">
      <w:pPr>
        <w:spacing w:line="600" w:lineRule="exact"/>
        <w:ind w:firstLine="640" w:firstLineChars="200"/>
        <w:rPr>
          <w:rFonts w:ascii="仿宋" w:hAnsi="仿宋" w:eastAsia="仿宋"/>
          <w:color w:val="000000"/>
          <w:sz w:val="32"/>
          <w:szCs w:val="32"/>
        </w:rPr>
      </w:pPr>
    </w:p>
    <w:p w14:paraId="1B7CDCCE">
      <w:pPr>
        <w:spacing w:line="600" w:lineRule="exact"/>
        <w:ind w:firstLine="640" w:firstLineChars="200"/>
        <w:rPr>
          <w:rFonts w:ascii="仿宋" w:hAnsi="仿宋" w:eastAsia="仿宋"/>
          <w:color w:val="000000"/>
          <w:sz w:val="32"/>
          <w:szCs w:val="32"/>
        </w:rPr>
      </w:pPr>
    </w:p>
    <w:p w14:paraId="1B635996">
      <w:pPr>
        <w:spacing w:line="600" w:lineRule="exact"/>
        <w:ind w:firstLine="640" w:firstLineChars="200"/>
        <w:rPr>
          <w:rFonts w:ascii="仿宋" w:hAnsi="仿宋" w:eastAsia="仿宋"/>
          <w:color w:val="000000"/>
          <w:sz w:val="32"/>
          <w:szCs w:val="32"/>
        </w:rPr>
      </w:pPr>
    </w:p>
    <w:p w14:paraId="24C52991">
      <w:pPr>
        <w:spacing w:line="600" w:lineRule="exact"/>
        <w:ind w:firstLine="640" w:firstLineChars="200"/>
        <w:rPr>
          <w:rFonts w:ascii="仿宋" w:hAnsi="仿宋" w:eastAsia="仿宋"/>
          <w:color w:val="000000"/>
          <w:sz w:val="32"/>
          <w:szCs w:val="32"/>
        </w:rPr>
      </w:pPr>
    </w:p>
    <w:p w14:paraId="3B963950">
      <w:pPr>
        <w:spacing w:line="600" w:lineRule="exact"/>
        <w:ind w:firstLine="640" w:firstLineChars="200"/>
        <w:rPr>
          <w:rFonts w:ascii="仿宋" w:hAnsi="仿宋" w:eastAsia="仿宋"/>
          <w:color w:val="000000"/>
          <w:sz w:val="32"/>
          <w:szCs w:val="32"/>
        </w:rPr>
      </w:pPr>
    </w:p>
    <w:p w14:paraId="0E2EDE09">
      <w:pPr>
        <w:spacing w:line="600" w:lineRule="exact"/>
        <w:ind w:firstLine="640" w:firstLineChars="200"/>
        <w:rPr>
          <w:rFonts w:ascii="仿宋" w:hAnsi="仿宋" w:eastAsia="仿宋"/>
          <w:color w:val="000000"/>
          <w:sz w:val="32"/>
          <w:szCs w:val="32"/>
        </w:rPr>
      </w:pPr>
    </w:p>
    <w:p w14:paraId="74FCE143">
      <w:pPr>
        <w:spacing w:line="600" w:lineRule="exact"/>
        <w:ind w:firstLine="640" w:firstLineChars="200"/>
        <w:rPr>
          <w:rFonts w:ascii="仿宋" w:hAnsi="仿宋" w:eastAsia="仿宋"/>
          <w:color w:val="000000"/>
          <w:sz w:val="32"/>
          <w:szCs w:val="32"/>
        </w:rPr>
      </w:pPr>
    </w:p>
    <w:p w14:paraId="07511F90">
      <w:pPr>
        <w:spacing w:line="600" w:lineRule="exact"/>
        <w:ind w:firstLine="640" w:firstLineChars="200"/>
        <w:rPr>
          <w:rFonts w:ascii="仿宋" w:hAnsi="仿宋" w:eastAsia="仿宋"/>
          <w:color w:val="000000"/>
          <w:sz w:val="32"/>
          <w:szCs w:val="32"/>
        </w:rPr>
      </w:pPr>
    </w:p>
    <w:p w14:paraId="58270F76">
      <w:pPr>
        <w:spacing w:line="600" w:lineRule="exact"/>
        <w:ind w:firstLine="640" w:firstLineChars="200"/>
        <w:rPr>
          <w:rFonts w:ascii="仿宋" w:hAnsi="仿宋" w:eastAsia="仿宋"/>
          <w:color w:val="000000"/>
          <w:sz w:val="32"/>
          <w:szCs w:val="32"/>
        </w:rPr>
      </w:pPr>
    </w:p>
    <w:p w14:paraId="46062F01">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14:paraId="611FC943">
      <w:pPr>
        <w:spacing w:line="600" w:lineRule="exact"/>
        <w:ind w:firstLine="640" w:firstLineChars="200"/>
        <w:rPr>
          <w:rFonts w:ascii="仿宋_GB2312" w:eastAsia="仿宋_GB2312"/>
          <w:color w:val="FF0000"/>
          <w:sz w:val="32"/>
          <w:szCs w:val="32"/>
        </w:rPr>
      </w:pPr>
    </w:p>
    <w:p w14:paraId="7444B695">
      <w:pPr>
        <w:pStyle w:val="3"/>
        <w:ind w:firstLine="640" w:firstLineChars="200"/>
        <w:rPr>
          <w:rFonts w:ascii="黑体" w:hAnsi="黑体" w:eastAsia="黑体" w:cs="黑体"/>
          <w:b w:val="0"/>
          <w:bCs w:val="0"/>
        </w:rPr>
      </w:pPr>
      <w:bookmarkStart w:id="37" w:name="_Toc15396605"/>
      <w:bookmarkStart w:id="38" w:name="_Toc12824"/>
      <w:bookmarkStart w:id="39" w:name="_Toc15377207"/>
      <w:r>
        <w:rPr>
          <w:rFonts w:hint="eastAsia" w:ascii="黑体" w:hAnsi="黑体" w:eastAsia="黑体" w:cs="黑体"/>
          <w:b w:val="0"/>
          <w:bCs w:val="0"/>
        </w:rPr>
        <w:t>三、支出决算情况说明</w:t>
      </w:r>
      <w:bookmarkEnd w:id="37"/>
      <w:bookmarkEnd w:id="38"/>
      <w:bookmarkEnd w:id="39"/>
    </w:p>
    <w:p w14:paraId="1E8CB0D3">
      <w:pPr>
        <w:spacing w:line="600" w:lineRule="exact"/>
        <w:ind w:firstLine="640" w:firstLineChars="200"/>
        <w:outlineLvl w:val="1"/>
        <w:rPr>
          <w:rFonts w:ascii="仿宋" w:hAnsi="仿宋" w:eastAsia="仿宋"/>
          <w:color w:val="000000"/>
          <w:sz w:val="32"/>
          <w:szCs w:val="32"/>
        </w:rPr>
      </w:pPr>
      <w:bookmarkStart w:id="40" w:name="_Toc29200"/>
      <w:r>
        <w:rPr>
          <w:rFonts w:ascii="仿宋" w:hAnsi="仿宋" w:eastAsia="仿宋"/>
          <w:color w:val="000000"/>
          <w:sz w:val="32"/>
          <w:szCs w:val="32"/>
        </w:rPr>
        <w:t>201</w:t>
      </w:r>
      <w:r>
        <w:rPr>
          <w:rFonts w:hint="eastAsia" w:ascii="仿宋" w:hAnsi="仿宋" w:eastAsia="仿宋"/>
          <w:color w:val="000000"/>
          <w:sz w:val="32"/>
          <w:szCs w:val="32"/>
        </w:rPr>
        <w:t>9年本年支出合计2265.63万元，其中：基本支出94.21万元，占4.16</w:t>
      </w:r>
      <w:r>
        <w:rPr>
          <w:rFonts w:ascii="仿宋" w:hAnsi="仿宋" w:eastAsia="仿宋"/>
          <w:color w:val="000000"/>
          <w:sz w:val="32"/>
          <w:szCs w:val="32"/>
        </w:rPr>
        <w:t>%</w:t>
      </w:r>
      <w:r>
        <w:rPr>
          <w:rFonts w:hint="eastAsia" w:ascii="仿宋" w:hAnsi="仿宋" w:eastAsia="仿宋"/>
          <w:color w:val="000000"/>
          <w:sz w:val="32"/>
          <w:szCs w:val="32"/>
        </w:rPr>
        <w:t>；项目支出2171.43万元，占95.84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0"/>
    </w:p>
    <w:p w14:paraId="4A890C56">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1312" behindDoc="0" locked="0" layoutInCell="1" allowOverlap="1">
            <wp:simplePos x="0" y="0"/>
            <wp:positionH relativeFrom="column">
              <wp:posOffset>347345</wp:posOffset>
            </wp:positionH>
            <wp:positionV relativeFrom="paragraph">
              <wp:posOffset>366395</wp:posOffset>
            </wp:positionV>
            <wp:extent cx="3851910" cy="3362960"/>
            <wp:effectExtent l="4445" t="4445" r="10795" b="23495"/>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4188C7F">
      <w:pPr>
        <w:spacing w:line="600" w:lineRule="exact"/>
        <w:ind w:firstLine="640" w:firstLineChars="200"/>
        <w:rPr>
          <w:rFonts w:ascii="仿宋" w:hAnsi="仿宋" w:eastAsia="仿宋"/>
          <w:color w:val="000000" w:themeColor="text1"/>
          <w:sz w:val="32"/>
          <w:szCs w:val="32"/>
        </w:rPr>
      </w:pPr>
    </w:p>
    <w:p w14:paraId="655D5157">
      <w:pPr>
        <w:spacing w:line="600" w:lineRule="exact"/>
        <w:ind w:firstLine="640" w:firstLineChars="200"/>
        <w:rPr>
          <w:rFonts w:ascii="仿宋" w:hAnsi="仿宋" w:eastAsia="仿宋"/>
          <w:color w:val="000000" w:themeColor="text1"/>
          <w:sz w:val="32"/>
          <w:szCs w:val="32"/>
        </w:rPr>
      </w:pPr>
    </w:p>
    <w:p w14:paraId="1978EAE1">
      <w:pPr>
        <w:spacing w:line="600" w:lineRule="exact"/>
        <w:ind w:firstLine="640" w:firstLineChars="200"/>
        <w:rPr>
          <w:rFonts w:ascii="仿宋" w:hAnsi="仿宋" w:eastAsia="仿宋"/>
          <w:color w:val="000000" w:themeColor="text1"/>
          <w:sz w:val="32"/>
          <w:szCs w:val="32"/>
        </w:rPr>
      </w:pPr>
    </w:p>
    <w:p w14:paraId="591C9438">
      <w:pPr>
        <w:spacing w:line="600" w:lineRule="exact"/>
        <w:ind w:firstLine="640" w:firstLineChars="200"/>
        <w:rPr>
          <w:rFonts w:ascii="仿宋" w:hAnsi="仿宋" w:eastAsia="仿宋"/>
          <w:color w:val="000000" w:themeColor="text1"/>
          <w:sz w:val="32"/>
          <w:szCs w:val="32"/>
        </w:rPr>
      </w:pPr>
    </w:p>
    <w:p w14:paraId="4AA07249">
      <w:pPr>
        <w:spacing w:line="600" w:lineRule="exact"/>
        <w:ind w:firstLine="640" w:firstLineChars="200"/>
        <w:rPr>
          <w:rFonts w:ascii="仿宋" w:hAnsi="仿宋" w:eastAsia="仿宋"/>
          <w:color w:val="000000" w:themeColor="text1"/>
          <w:sz w:val="32"/>
          <w:szCs w:val="32"/>
        </w:rPr>
      </w:pPr>
    </w:p>
    <w:p w14:paraId="320609A1">
      <w:pPr>
        <w:spacing w:line="600" w:lineRule="exact"/>
        <w:ind w:firstLine="640" w:firstLineChars="200"/>
        <w:rPr>
          <w:rFonts w:ascii="仿宋" w:hAnsi="仿宋" w:eastAsia="仿宋"/>
          <w:color w:val="000000" w:themeColor="text1"/>
          <w:sz w:val="32"/>
          <w:szCs w:val="32"/>
        </w:rPr>
      </w:pPr>
    </w:p>
    <w:p w14:paraId="02B21E82">
      <w:pPr>
        <w:spacing w:line="600" w:lineRule="exact"/>
        <w:ind w:firstLine="640" w:firstLineChars="200"/>
        <w:rPr>
          <w:rFonts w:ascii="仿宋" w:hAnsi="仿宋" w:eastAsia="仿宋"/>
          <w:color w:val="000000" w:themeColor="text1"/>
          <w:sz w:val="32"/>
          <w:szCs w:val="32"/>
        </w:rPr>
      </w:pPr>
    </w:p>
    <w:p w14:paraId="44547CCA">
      <w:pPr>
        <w:spacing w:line="600" w:lineRule="exact"/>
        <w:ind w:firstLine="640" w:firstLineChars="200"/>
        <w:rPr>
          <w:rFonts w:ascii="仿宋" w:hAnsi="仿宋" w:eastAsia="仿宋"/>
          <w:color w:val="000000" w:themeColor="text1"/>
          <w:sz w:val="32"/>
          <w:szCs w:val="32"/>
        </w:rPr>
      </w:pPr>
    </w:p>
    <w:p w14:paraId="663FF22D">
      <w:pPr>
        <w:spacing w:line="600" w:lineRule="exact"/>
        <w:ind w:firstLine="640" w:firstLineChars="200"/>
        <w:rPr>
          <w:rFonts w:ascii="仿宋" w:hAnsi="仿宋" w:eastAsia="仿宋"/>
          <w:color w:val="000000" w:themeColor="text1"/>
          <w:sz w:val="32"/>
          <w:szCs w:val="32"/>
        </w:rPr>
      </w:pPr>
    </w:p>
    <w:p w14:paraId="09C07DF8">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14:paraId="5D872C22">
      <w:pPr>
        <w:spacing w:line="600" w:lineRule="exact"/>
        <w:ind w:firstLine="640" w:firstLineChars="200"/>
        <w:rPr>
          <w:rFonts w:ascii="仿宋_GB2312" w:eastAsia="仿宋_GB2312"/>
          <w:color w:val="FF0000"/>
          <w:sz w:val="32"/>
          <w:szCs w:val="32"/>
        </w:rPr>
      </w:pPr>
    </w:p>
    <w:p w14:paraId="062EE4AA">
      <w:pPr>
        <w:pStyle w:val="3"/>
        <w:ind w:firstLine="640" w:firstLineChars="200"/>
        <w:rPr>
          <w:rFonts w:ascii="黑体" w:hAnsi="黑体" w:eastAsia="黑体" w:cs="黑体"/>
          <w:b w:val="0"/>
          <w:bCs w:val="0"/>
        </w:rPr>
      </w:pPr>
      <w:bookmarkStart w:id="41" w:name="_Toc15377208"/>
      <w:bookmarkStart w:id="42" w:name="_Toc2609"/>
      <w:bookmarkStart w:id="43" w:name="_Toc15396606"/>
      <w:r>
        <w:rPr>
          <w:rFonts w:hint="eastAsia" w:ascii="黑体" w:hAnsi="黑体" w:eastAsia="黑体" w:cs="黑体"/>
          <w:b w:val="0"/>
          <w:bCs w:val="0"/>
        </w:rPr>
        <w:t>四、财政拨款收入支出决算总体情况说明</w:t>
      </w:r>
      <w:bookmarkEnd w:id="41"/>
      <w:bookmarkEnd w:id="42"/>
      <w:bookmarkEnd w:id="43"/>
    </w:p>
    <w:p w14:paraId="5CA3D6B6">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9年财政拨款收入总计2427.61万元、支出总计1949.83万元。与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8年相比，财政拨款收入总计增加274.25万元，增长12.74%，支出总计增加175.63万元，增长9.90</w:t>
      </w:r>
      <w:r>
        <w:rPr>
          <w:rFonts w:ascii="仿宋" w:hAnsi="仿宋" w:eastAsia="仿宋"/>
          <w:color w:val="000000"/>
          <w:sz w:val="32"/>
          <w:szCs w:val="32"/>
        </w:rPr>
        <w:t>%</w:t>
      </w:r>
      <w:r>
        <w:rPr>
          <w:rFonts w:hint="eastAsia" w:ascii="仿宋" w:hAnsi="仿宋" w:eastAsia="仿宋"/>
          <w:color w:val="000000"/>
          <w:sz w:val="32"/>
          <w:szCs w:val="32"/>
        </w:rPr>
        <w:t>。主要变动原因是本单位机改划出民政、残联等800万元，新增农业、扶贫310万元；机改增加移民项目700万元；机构改革后增加移民项目支出98万，农业项目支出357万；机构改革合并人员增多。</w:t>
      </w:r>
    </w:p>
    <w:p w14:paraId="60F2E3D4">
      <w:pPr>
        <w:spacing w:line="600" w:lineRule="exact"/>
        <w:ind w:firstLine="640"/>
        <w:rPr>
          <w:rFonts w:ascii="仿宋" w:hAnsi="仿宋" w:eastAsia="仿宋"/>
          <w:color w:val="000000"/>
          <w:sz w:val="32"/>
          <w:szCs w:val="32"/>
        </w:rPr>
      </w:pPr>
    </w:p>
    <w:p w14:paraId="5CBC3C03">
      <w:pPr>
        <w:spacing w:line="600" w:lineRule="exact"/>
        <w:ind w:firstLine="640"/>
        <w:rPr>
          <w:rFonts w:ascii="仿宋" w:hAnsi="仿宋" w:eastAsia="仿宋"/>
          <w:color w:val="000000"/>
          <w:sz w:val="32"/>
          <w:szCs w:val="32"/>
        </w:rPr>
      </w:pPr>
    </w:p>
    <w:p w14:paraId="70FB1D4B">
      <w:pPr>
        <w:spacing w:line="600" w:lineRule="exact"/>
        <w:ind w:firstLine="640"/>
        <w:rPr>
          <w:rFonts w:ascii="仿宋" w:hAnsi="仿宋" w:eastAsia="仿宋"/>
          <w:color w:val="000000"/>
          <w:sz w:val="32"/>
          <w:szCs w:val="32"/>
        </w:rPr>
      </w:pPr>
    </w:p>
    <w:p w14:paraId="3FDD2B4A">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537845</wp:posOffset>
            </wp:positionH>
            <wp:positionV relativeFrom="paragraph">
              <wp:posOffset>157480</wp:posOffset>
            </wp:positionV>
            <wp:extent cx="3890010" cy="3173095"/>
            <wp:effectExtent l="4445" t="5080" r="10795" b="7937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D8EED47">
      <w:pPr>
        <w:spacing w:line="600" w:lineRule="exact"/>
        <w:ind w:firstLine="640"/>
        <w:rPr>
          <w:rFonts w:ascii="仿宋" w:hAnsi="仿宋" w:eastAsia="仿宋"/>
          <w:color w:val="000000"/>
          <w:sz w:val="32"/>
          <w:szCs w:val="32"/>
        </w:rPr>
      </w:pPr>
    </w:p>
    <w:p w14:paraId="7EC839BF">
      <w:pPr>
        <w:spacing w:line="600" w:lineRule="exact"/>
        <w:ind w:firstLine="640"/>
        <w:rPr>
          <w:rFonts w:ascii="仿宋" w:hAnsi="仿宋" w:eastAsia="仿宋"/>
          <w:color w:val="000000"/>
          <w:sz w:val="32"/>
          <w:szCs w:val="32"/>
        </w:rPr>
      </w:pPr>
    </w:p>
    <w:p w14:paraId="7F39DA2F">
      <w:pPr>
        <w:spacing w:line="600" w:lineRule="exact"/>
        <w:ind w:firstLine="640"/>
        <w:rPr>
          <w:rFonts w:ascii="仿宋" w:hAnsi="仿宋" w:eastAsia="仿宋"/>
          <w:color w:val="000000"/>
          <w:sz w:val="32"/>
          <w:szCs w:val="32"/>
        </w:rPr>
      </w:pPr>
    </w:p>
    <w:p w14:paraId="722014DE">
      <w:pPr>
        <w:spacing w:line="600" w:lineRule="exact"/>
        <w:ind w:firstLine="640"/>
        <w:rPr>
          <w:rFonts w:ascii="仿宋" w:hAnsi="仿宋" w:eastAsia="仿宋"/>
          <w:color w:val="000000"/>
          <w:sz w:val="32"/>
          <w:szCs w:val="32"/>
        </w:rPr>
      </w:pPr>
    </w:p>
    <w:p w14:paraId="14EA948E">
      <w:pPr>
        <w:spacing w:line="600" w:lineRule="exact"/>
        <w:ind w:firstLine="640"/>
        <w:rPr>
          <w:rFonts w:ascii="仿宋" w:hAnsi="仿宋" w:eastAsia="仿宋"/>
          <w:color w:val="000000"/>
          <w:sz w:val="32"/>
          <w:szCs w:val="32"/>
        </w:rPr>
      </w:pPr>
    </w:p>
    <w:p w14:paraId="7749B0E9">
      <w:pPr>
        <w:spacing w:line="600" w:lineRule="exact"/>
        <w:ind w:firstLine="640"/>
        <w:rPr>
          <w:rFonts w:ascii="仿宋" w:hAnsi="仿宋" w:eastAsia="仿宋"/>
          <w:color w:val="000000"/>
          <w:sz w:val="32"/>
          <w:szCs w:val="32"/>
        </w:rPr>
      </w:pPr>
    </w:p>
    <w:p w14:paraId="7EE14A52">
      <w:pPr>
        <w:spacing w:line="600" w:lineRule="exact"/>
        <w:ind w:firstLine="640"/>
        <w:rPr>
          <w:rFonts w:ascii="仿宋" w:hAnsi="仿宋" w:eastAsia="仿宋"/>
          <w:color w:val="000000"/>
          <w:sz w:val="32"/>
          <w:szCs w:val="32"/>
        </w:rPr>
      </w:pPr>
    </w:p>
    <w:p w14:paraId="263891CB">
      <w:pPr>
        <w:spacing w:line="600" w:lineRule="exact"/>
        <w:rPr>
          <w:rFonts w:ascii="仿宋" w:hAnsi="仿宋" w:eastAsia="仿宋"/>
          <w:color w:val="000000"/>
          <w:sz w:val="32"/>
          <w:szCs w:val="32"/>
        </w:rPr>
      </w:pPr>
    </w:p>
    <w:p w14:paraId="621DE055">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379B9073">
      <w:pPr>
        <w:spacing w:line="600" w:lineRule="exact"/>
        <w:ind w:firstLine="640"/>
        <w:rPr>
          <w:rFonts w:ascii="仿宋" w:hAnsi="仿宋" w:eastAsia="仿宋"/>
          <w:b/>
          <w:color w:val="00B050"/>
          <w:sz w:val="32"/>
          <w:szCs w:val="32"/>
        </w:rPr>
      </w:pPr>
    </w:p>
    <w:p w14:paraId="360280C1">
      <w:pPr>
        <w:pStyle w:val="3"/>
        <w:ind w:firstLine="640" w:firstLineChars="200"/>
        <w:rPr>
          <w:rFonts w:ascii="黑体" w:hAnsi="黑体" w:eastAsia="黑体" w:cs="黑体"/>
          <w:b w:val="0"/>
          <w:bCs w:val="0"/>
        </w:rPr>
      </w:pPr>
      <w:bookmarkStart w:id="44" w:name="_Toc14948"/>
      <w:bookmarkStart w:id="45" w:name="_Toc15396607"/>
      <w:bookmarkStart w:id="46" w:name="_Toc15377209"/>
      <w:r>
        <w:rPr>
          <w:rFonts w:hint="eastAsia" w:ascii="黑体" w:hAnsi="黑体" w:eastAsia="黑体" w:cs="黑体"/>
          <w:b w:val="0"/>
          <w:bCs w:val="0"/>
        </w:rPr>
        <w:t>五、一般公共预算财政拨款支出决算情况说明</w:t>
      </w:r>
      <w:bookmarkEnd w:id="44"/>
      <w:bookmarkEnd w:id="45"/>
      <w:bookmarkEnd w:id="46"/>
    </w:p>
    <w:p w14:paraId="359147A4">
      <w:pPr>
        <w:spacing w:line="600" w:lineRule="exact"/>
        <w:ind w:firstLine="643" w:firstLineChars="200"/>
        <w:outlineLvl w:val="2"/>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14:paraId="7C82D4D6">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9年一般公共预算财政拨款支出1582.03万元，占本年支出合计的69.83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8年相比，一般公共预算财政拨款减少161.52万元，下降9.26</w:t>
      </w:r>
      <w:r>
        <w:rPr>
          <w:rFonts w:ascii="仿宋" w:hAnsi="仿宋" w:eastAsia="仿宋"/>
          <w:color w:val="000000"/>
          <w:sz w:val="32"/>
          <w:szCs w:val="32"/>
        </w:rPr>
        <w:t>%</w:t>
      </w:r>
      <w:r>
        <w:rPr>
          <w:rFonts w:hint="eastAsia" w:ascii="仿宋" w:hAnsi="仿宋" w:eastAsia="仿宋"/>
          <w:color w:val="000000"/>
          <w:sz w:val="32"/>
          <w:szCs w:val="32"/>
        </w:rPr>
        <w:t>。主要变动原因是厉行节约。</w:t>
      </w:r>
    </w:p>
    <w:p w14:paraId="7F9E2924">
      <w:pPr>
        <w:spacing w:line="600" w:lineRule="exact"/>
        <w:ind w:firstLine="640"/>
        <w:rPr>
          <w:rFonts w:ascii="仿宋" w:hAnsi="仿宋" w:eastAsia="仿宋"/>
          <w:color w:val="000000"/>
          <w:sz w:val="32"/>
          <w:szCs w:val="32"/>
        </w:rPr>
      </w:pPr>
    </w:p>
    <w:p w14:paraId="2CD3B1D5">
      <w:pPr>
        <w:spacing w:line="600" w:lineRule="exact"/>
        <w:ind w:firstLine="640"/>
        <w:rPr>
          <w:rFonts w:ascii="仿宋" w:hAnsi="仿宋" w:eastAsia="仿宋"/>
          <w:color w:val="000000"/>
          <w:sz w:val="32"/>
          <w:szCs w:val="32"/>
        </w:rPr>
      </w:pPr>
    </w:p>
    <w:p w14:paraId="10975292">
      <w:pPr>
        <w:spacing w:line="600" w:lineRule="exact"/>
        <w:ind w:firstLine="640"/>
        <w:rPr>
          <w:rFonts w:ascii="仿宋" w:hAnsi="仿宋" w:eastAsia="仿宋"/>
          <w:color w:val="000000"/>
          <w:sz w:val="32"/>
          <w:szCs w:val="32"/>
        </w:rPr>
      </w:pPr>
    </w:p>
    <w:p w14:paraId="4579F227">
      <w:pPr>
        <w:spacing w:line="600" w:lineRule="exact"/>
        <w:ind w:firstLine="640"/>
        <w:rPr>
          <w:rFonts w:ascii="仿宋" w:hAnsi="仿宋" w:eastAsia="仿宋"/>
          <w:color w:val="000000"/>
          <w:sz w:val="32"/>
          <w:szCs w:val="32"/>
        </w:rPr>
      </w:pPr>
    </w:p>
    <w:p w14:paraId="411671A4">
      <w:pPr>
        <w:spacing w:line="600" w:lineRule="exact"/>
        <w:ind w:firstLine="640"/>
        <w:rPr>
          <w:rFonts w:ascii="仿宋" w:hAnsi="仿宋" w:eastAsia="仿宋"/>
          <w:color w:val="000000"/>
          <w:sz w:val="32"/>
          <w:szCs w:val="32"/>
        </w:rPr>
      </w:pPr>
    </w:p>
    <w:p w14:paraId="6B228137">
      <w:pPr>
        <w:spacing w:line="600" w:lineRule="exact"/>
        <w:ind w:firstLine="640"/>
        <w:rPr>
          <w:rFonts w:ascii="仿宋" w:hAnsi="仿宋" w:eastAsia="仿宋"/>
          <w:color w:val="000000"/>
          <w:sz w:val="32"/>
          <w:szCs w:val="32"/>
        </w:rPr>
      </w:pPr>
    </w:p>
    <w:p w14:paraId="0DC2B32B">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528320</wp:posOffset>
            </wp:positionH>
            <wp:positionV relativeFrom="paragraph">
              <wp:posOffset>63500</wp:posOffset>
            </wp:positionV>
            <wp:extent cx="3957320" cy="2945130"/>
            <wp:effectExtent l="4445" t="5080" r="19685" b="7874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82C098E">
      <w:pPr>
        <w:spacing w:line="600" w:lineRule="exact"/>
        <w:ind w:firstLine="640"/>
        <w:rPr>
          <w:rFonts w:ascii="仿宋" w:hAnsi="仿宋" w:eastAsia="仿宋"/>
          <w:color w:val="000000"/>
          <w:sz w:val="32"/>
          <w:szCs w:val="32"/>
        </w:rPr>
      </w:pPr>
    </w:p>
    <w:p w14:paraId="646DF999">
      <w:pPr>
        <w:spacing w:line="600" w:lineRule="exact"/>
        <w:ind w:firstLine="640"/>
        <w:rPr>
          <w:rFonts w:ascii="仿宋" w:hAnsi="仿宋" w:eastAsia="仿宋"/>
          <w:color w:val="000000"/>
          <w:sz w:val="32"/>
          <w:szCs w:val="32"/>
        </w:rPr>
      </w:pPr>
    </w:p>
    <w:p w14:paraId="2DC40728">
      <w:pPr>
        <w:spacing w:line="600" w:lineRule="exact"/>
        <w:ind w:firstLine="640"/>
        <w:rPr>
          <w:rFonts w:ascii="仿宋" w:hAnsi="仿宋" w:eastAsia="仿宋"/>
          <w:color w:val="000000"/>
          <w:sz w:val="32"/>
          <w:szCs w:val="32"/>
        </w:rPr>
      </w:pPr>
    </w:p>
    <w:p w14:paraId="725ACC46">
      <w:pPr>
        <w:spacing w:line="600" w:lineRule="exact"/>
        <w:ind w:firstLine="640"/>
        <w:rPr>
          <w:rFonts w:ascii="仿宋" w:hAnsi="仿宋" w:eastAsia="仿宋"/>
          <w:color w:val="000000"/>
          <w:sz w:val="32"/>
          <w:szCs w:val="32"/>
        </w:rPr>
      </w:pPr>
    </w:p>
    <w:p w14:paraId="23A7603D">
      <w:pPr>
        <w:spacing w:line="600" w:lineRule="exact"/>
        <w:ind w:firstLine="640"/>
        <w:rPr>
          <w:rFonts w:ascii="仿宋" w:hAnsi="仿宋" w:eastAsia="仿宋"/>
          <w:color w:val="000000"/>
          <w:sz w:val="32"/>
          <w:szCs w:val="32"/>
        </w:rPr>
      </w:pPr>
    </w:p>
    <w:p w14:paraId="69156BBD">
      <w:pPr>
        <w:spacing w:line="600" w:lineRule="exact"/>
        <w:ind w:firstLine="640"/>
        <w:rPr>
          <w:rFonts w:ascii="仿宋" w:hAnsi="仿宋" w:eastAsia="仿宋"/>
          <w:color w:val="000000"/>
          <w:sz w:val="32"/>
          <w:szCs w:val="32"/>
        </w:rPr>
      </w:pPr>
    </w:p>
    <w:p w14:paraId="2AAD8A42">
      <w:pPr>
        <w:spacing w:line="600" w:lineRule="exact"/>
        <w:ind w:firstLine="640"/>
        <w:rPr>
          <w:rFonts w:ascii="仿宋" w:hAnsi="仿宋" w:eastAsia="仿宋"/>
          <w:color w:val="000000"/>
          <w:sz w:val="32"/>
          <w:szCs w:val="32"/>
        </w:rPr>
      </w:pPr>
    </w:p>
    <w:p w14:paraId="1C8E1C9B">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593021AC">
      <w:pPr>
        <w:spacing w:line="600" w:lineRule="exact"/>
        <w:ind w:firstLine="640" w:firstLineChars="200"/>
        <w:rPr>
          <w:rFonts w:ascii="仿宋" w:hAnsi="仿宋" w:eastAsia="仿宋"/>
          <w:color w:val="000000" w:themeColor="text1"/>
          <w:sz w:val="32"/>
          <w:szCs w:val="32"/>
        </w:rPr>
      </w:pPr>
    </w:p>
    <w:p w14:paraId="2EF786DB">
      <w:pPr>
        <w:spacing w:line="600" w:lineRule="exact"/>
        <w:ind w:firstLine="643" w:firstLineChars="200"/>
        <w:outlineLvl w:val="2"/>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14:paraId="4A0759F1">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1582.03</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一般公共服务支出（201）</w:t>
      </w:r>
      <w:r>
        <w:rPr>
          <w:rFonts w:hint="eastAsia" w:ascii="仿宋" w:hAnsi="仿宋" w:eastAsia="仿宋"/>
          <w:color w:val="000000" w:themeColor="text1"/>
          <w:sz w:val="32"/>
          <w:szCs w:val="32"/>
        </w:rPr>
        <w:t>178.11万元，占11.26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教育支出（205）</w:t>
      </w:r>
      <w:r>
        <w:rPr>
          <w:rFonts w:hint="eastAsia" w:ascii="仿宋" w:hAnsi="仿宋" w:eastAsia="仿宋"/>
          <w:color w:val="000000" w:themeColor="text1"/>
          <w:sz w:val="32"/>
          <w:szCs w:val="32"/>
        </w:rPr>
        <w:t>430.56万元，占27.22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农林水支出（213）</w:t>
      </w:r>
      <w:r>
        <w:rPr>
          <w:rFonts w:hint="eastAsia" w:ascii="仿宋" w:hAnsi="仿宋" w:eastAsia="仿宋"/>
          <w:color w:val="000000" w:themeColor="text1"/>
          <w:sz w:val="32"/>
          <w:szCs w:val="32"/>
        </w:rPr>
        <w:t>支出150.83万元，占9.53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文化旅游体育与传媒支出（207）7.1万元，</w:t>
      </w:r>
      <w:r>
        <w:rPr>
          <w:rFonts w:hint="eastAsia" w:ascii="仿宋" w:hAnsi="仿宋" w:eastAsia="仿宋"/>
          <w:color w:val="000000" w:themeColor="text1"/>
          <w:sz w:val="32"/>
          <w:szCs w:val="32"/>
        </w:rPr>
        <w:t>占0.45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社会保障和就业支出（208）</w:t>
      </w:r>
      <w:r>
        <w:rPr>
          <w:rFonts w:hint="eastAsia" w:ascii="仿宋" w:hAnsi="仿宋" w:eastAsia="仿宋"/>
          <w:color w:val="000000" w:themeColor="text1"/>
          <w:sz w:val="32"/>
          <w:szCs w:val="32"/>
        </w:rPr>
        <w:t>支出210.7万元，占13.32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卫生健康支出（210）</w:t>
      </w:r>
      <w:r>
        <w:rPr>
          <w:rFonts w:hint="eastAsia" w:ascii="仿宋" w:hAnsi="仿宋" w:eastAsia="仿宋"/>
          <w:color w:val="000000" w:themeColor="text1"/>
          <w:sz w:val="32"/>
          <w:szCs w:val="32"/>
        </w:rPr>
        <w:t>487.78万元，占30.83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城乡社区支出（212）</w:t>
      </w:r>
      <w:r>
        <w:rPr>
          <w:rFonts w:hint="eastAsia" w:ascii="仿宋" w:hAnsi="仿宋" w:eastAsia="仿宋"/>
          <w:color w:val="000000" w:themeColor="text1"/>
          <w:sz w:val="32"/>
          <w:szCs w:val="32"/>
        </w:rPr>
        <w:t>1.32万元，占0.08%；</w:t>
      </w:r>
      <w:r>
        <w:rPr>
          <w:rFonts w:hint="eastAsia" w:ascii="仿宋" w:hAnsi="仿宋" w:eastAsia="仿宋"/>
          <w:b/>
          <w:bCs/>
          <w:color w:val="000000" w:themeColor="text1"/>
          <w:sz w:val="32"/>
          <w:szCs w:val="32"/>
        </w:rPr>
        <w:t>金融支出（217）</w:t>
      </w:r>
      <w:r>
        <w:rPr>
          <w:rFonts w:hint="eastAsia" w:ascii="仿宋" w:hAnsi="仿宋" w:eastAsia="仿宋"/>
          <w:color w:val="000000" w:themeColor="text1"/>
          <w:sz w:val="32"/>
          <w:szCs w:val="32"/>
        </w:rPr>
        <w:t>100.06万元，占6.32%；</w:t>
      </w:r>
      <w:r>
        <w:rPr>
          <w:rFonts w:hint="eastAsia" w:ascii="仿宋" w:hAnsi="仿宋" w:eastAsia="仿宋"/>
          <w:b/>
          <w:bCs/>
          <w:color w:val="000000" w:themeColor="text1"/>
          <w:sz w:val="32"/>
          <w:szCs w:val="32"/>
        </w:rPr>
        <w:t>灾害防治及应急管理支出（224）</w:t>
      </w:r>
      <w:r>
        <w:rPr>
          <w:rFonts w:hint="eastAsia" w:ascii="仿宋" w:hAnsi="仿宋" w:eastAsia="仿宋"/>
          <w:color w:val="000000" w:themeColor="text1"/>
          <w:sz w:val="32"/>
          <w:szCs w:val="32"/>
        </w:rPr>
        <w:t>15.57万元，占0.99%.</w:t>
      </w:r>
    </w:p>
    <w:p w14:paraId="22BF0897">
      <w:pPr>
        <w:spacing w:line="600" w:lineRule="exact"/>
        <w:ind w:firstLine="640"/>
        <w:rPr>
          <w:rFonts w:ascii="仿宋" w:hAnsi="仿宋" w:eastAsia="仿宋"/>
          <w:color w:val="000000" w:themeColor="text1"/>
          <w:sz w:val="32"/>
          <w:szCs w:val="32"/>
        </w:rPr>
      </w:pPr>
    </w:p>
    <w:p w14:paraId="0D9A27F3">
      <w:pPr>
        <w:spacing w:line="600" w:lineRule="exact"/>
        <w:ind w:firstLine="640"/>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401955</wp:posOffset>
            </wp:positionH>
            <wp:positionV relativeFrom="paragraph">
              <wp:posOffset>-128905</wp:posOffset>
            </wp:positionV>
            <wp:extent cx="3766185" cy="3467100"/>
            <wp:effectExtent l="5080" t="4445" r="19685"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CEC6BCA">
      <w:pPr>
        <w:spacing w:line="600" w:lineRule="exact"/>
        <w:ind w:firstLine="640"/>
        <w:rPr>
          <w:rFonts w:ascii="仿宋" w:hAnsi="仿宋" w:eastAsia="仿宋"/>
          <w:color w:val="000000" w:themeColor="text1"/>
          <w:sz w:val="32"/>
          <w:szCs w:val="32"/>
        </w:rPr>
      </w:pPr>
    </w:p>
    <w:p w14:paraId="346AA0AB">
      <w:pPr>
        <w:spacing w:line="600" w:lineRule="exact"/>
        <w:ind w:firstLine="640"/>
        <w:rPr>
          <w:rFonts w:ascii="仿宋" w:hAnsi="仿宋" w:eastAsia="仿宋"/>
          <w:color w:val="000000" w:themeColor="text1"/>
          <w:sz w:val="32"/>
          <w:szCs w:val="32"/>
        </w:rPr>
      </w:pPr>
    </w:p>
    <w:p w14:paraId="78BA8C14">
      <w:pPr>
        <w:spacing w:line="600" w:lineRule="exact"/>
        <w:ind w:firstLine="640"/>
        <w:rPr>
          <w:rFonts w:ascii="仿宋" w:hAnsi="仿宋" w:eastAsia="仿宋"/>
          <w:color w:val="000000" w:themeColor="text1"/>
          <w:sz w:val="32"/>
          <w:szCs w:val="32"/>
        </w:rPr>
      </w:pPr>
    </w:p>
    <w:p w14:paraId="3CECE46F">
      <w:pPr>
        <w:spacing w:line="600" w:lineRule="exact"/>
        <w:ind w:firstLine="640"/>
        <w:rPr>
          <w:rFonts w:ascii="仿宋" w:hAnsi="仿宋" w:eastAsia="仿宋"/>
          <w:color w:val="000000" w:themeColor="text1"/>
          <w:sz w:val="32"/>
          <w:szCs w:val="32"/>
        </w:rPr>
      </w:pPr>
    </w:p>
    <w:p w14:paraId="7AF27C57">
      <w:pPr>
        <w:spacing w:line="600" w:lineRule="exact"/>
        <w:ind w:firstLine="640"/>
        <w:rPr>
          <w:rFonts w:ascii="仿宋" w:hAnsi="仿宋" w:eastAsia="仿宋"/>
          <w:color w:val="000000" w:themeColor="text1"/>
          <w:sz w:val="32"/>
          <w:szCs w:val="32"/>
        </w:rPr>
      </w:pPr>
    </w:p>
    <w:p w14:paraId="4D0CC4E2">
      <w:pPr>
        <w:spacing w:line="600" w:lineRule="exact"/>
        <w:ind w:firstLine="640"/>
        <w:rPr>
          <w:rFonts w:ascii="仿宋" w:hAnsi="仿宋" w:eastAsia="仿宋"/>
          <w:color w:val="000000" w:themeColor="text1"/>
          <w:sz w:val="32"/>
          <w:szCs w:val="32"/>
        </w:rPr>
      </w:pPr>
    </w:p>
    <w:p w14:paraId="717A2E6F">
      <w:pPr>
        <w:spacing w:line="600" w:lineRule="exact"/>
        <w:ind w:firstLine="640"/>
        <w:rPr>
          <w:rFonts w:ascii="仿宋" w:hAnsi="仿宋" w:eastAsia="仿宋"/>
          <w:color w:val="000000" w:themeColor="text1"/>
          <w:sz w:val="32"/>
          <w:szCs w:val="32"/>
        </w:rPr>
      </w:pPr>
    </w:p>
    <w:p w14:paraId="32E1AD4F">
      <w:pPr>
        <w:spacing w:line="600" w:lineRule="exact"/>
        <w:ind w:firstLine="640"/>
        <w:rPr>
          <w:rFonts w:ascii="仿宋" w:hAnsi="仿宋" w:eastAsia="仿宋"/>
          <w:color w:val="000000" w:themeColor="text1"/>
          <w:sz w:val="32"/>
          <w:szCs w:val="32"/>
        </w:rPr>
      </w:pPr>
    </w:p>
    <w:p w14:paraId="5B13174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3D75B71D">
      <w:pPr>
        <w:spacing w:line="600" w:lineRule="exact"/>
        <w:ind w:firstLine="640" w:firstLineChars="200"/>
        <w:rPr>
          <w:rFonts w:ascii="仿宋" w:hAnsi="仿宋" w:eastAsia="仿宋"/>
          <w:color w:val="000000"/>
          <w:sz w:val="32"/>
          <w:szCs w:val="32"/>
        </w:rPr>
      </w:pPr>
    </w:p>
    <w:p w14:paraId="12333890">
      <w:pPr>
        <w:spacing w:line="600" w:lineRule="exact"/>
        <w:ind w:firstLine="643" w:firstLineChars="200"/>
        <w:outlineLvl w:val="2"/>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14:paraId="0A6F85CB">
      <w:pPr>
        <w:spacing w:line="600" w:lineRule="exact"/>
        <w:ind w:firstLine="643" w:firstLineChars="200"/>
        <w:outlineLvl w:val="2"/>
        <w:rPr>
          <w:rFonts w:ascii="仿宋" w:hAnsi="仿宋" w:eastAsia="仿宋"/>
          <w:color w:val="FF0000"/>
          <w:sz w:val="32"/>
          <w:szCs w:val="32"/>
        </w:rPr>
      </w:pPr>
      <w:bookmarkStart w:id="50" w:name="_Toc15378460"/>
      <w:bookmarkStart w:id="51" w:name="_Toc15377213"/>
      <w:bookmarkStart w:id="52" w:name="_Toc15377444"/>
      <w:r>
        <w:rPr>
          <w:rFonts w:hint="eastAsia" w:ascii="仿宋" w:hAnsi="仿宋" w:eastAsia="仿宋"/>
          <w:b/>
          <w:color w:val="000000" w:themeColor="text1"/>
          <w:sz w:val="32"/>
          <w:szCs w:val="32"/>
        </w:rPr>
        <w:t>2019年一般公共预算支出决算数为</w:t>
      </w:r>
      <w:r>
        <w:rPr>
          <w:rFonts w:hint="eastAsia" w:ascii="仿宋" w:hAnsi="仿宋" w:eastAsia="仿宋"/>
          <w:color w:val="000000"/>
          <w:sz w:val="32"/>
          <w:szCs w:val="32"/>
        </w:rPr>
        <w:t>1582.03</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50"/>
      <w:bookmarkEnd w:id="51"/>
      <w:bookmarkEnd w:id="52"/>
    </w:p>
    <w:p w14:paraId="5E4A867D">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一般公共服务（201）政府办公厅（室）及相关机构事务（03）行政运行（01）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支出决算为19.29万元，完成预算100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8173FB8">
      <w:pPr>
        <w:numPr>
          <w:ilvl w:val="0"/>
          <w:numId w:val="2"/>
        </w:num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color w:val="000000"/>
          <w:sz w:val="32"/>
          <w:szCs w:val="32"/>
        </w:rPr>
        <w:t>2.</w:t>
      </w:r>
      <w:r>
        <w:rPr>
          <w:rStyle w:val="14"/>
          <w:rFonts w:hint="eastAsia" w:ascii="仿宋" w:hAnsi="仿宋" w:eastAsia="仿宋"/>
          <w:bCs/>
          <w:color w:val="000000"/>
          <w:sz w:val="32"/>
          <w:szCs w:val="32"/>
        </w:rPr>
        <w:t>一般公共服务（201）政府办公厅（室）及相关机构事务（03）一般行政管理事务（02）：</w:t>
      </w:r>
      <w:r>
        <w:rPr>
          <w:rStyle w:val="14"/>
          <w:rFonts w:hint="eastAsia" w:ascii="仿宋" w:hAnsi="仿宋" w:eastAsia="仿宋"/>
          <w:b w:val="0"/>
          <w:bCs/>
          <w:color w:val="000000"/>
          <w:sz w:val="32"/>
          <w:szCs w:val="32"/>
        </w:rPr>
        <w:t>支出决算为158.81万元，完成预算100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6A0E2F4">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教育支出（205）教育管理事务（01）行政运行（01）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支出决算为68.81万元，完成预算100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C38247D">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教育支出（205）教育管理事务（01）一般行政管理事务（02）：</w:t>
      </w:r>
      <w:r>
        <w:rPr>
          <w:rStyle w:val="14"/>
          <w:rFonts w:hint="eastAsia" w:ascii="仿宋" w:hAnsi="仿宋" w:eastAsia="仿宋"/>
          <w:b w:val="0"/>
          <w:bCs/>
          <w:color w:val="000000"/>
          <w:sz w:val="32"/>
          <w:szCs w:val="32"/>
        </w:rPr>
        <w:t>支出决算为34.08万元，完成预算100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E3D8ACC">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教育支出（205）普通教育（02）学前教育（01）：</w:t>
      </w:r>
      <w:r>
        <w:rPr>
          <w:rStyle w:val="14"/>
          <w:rFonts w:hint="eastAsia" w:ascii="仿宋" w:hAnsi="仿宋" w:eastAsia="仿宋"/>
          <w:b w:val="0"/>
          <w:bCs/>
          <w:color w:val="000000"/>
          <w:sz w:val="32"/>
          <w:szCs w:val="32"/>
        </w:rPr>
        <w:t>支出决算为215.4万元，完成预算100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D4DD8EC">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教育支出（205）普通教育（02）其他普通教育支出（99）：</w:t>
      </w:r>
      <w:r>
        <w:rPr>
          <w:rStyle w:val="14"/>
          <w:rFonts w:hint="eastAsia" w:ascii="仿宋" w:hAnsi="仿宋" w:eastAsia="仿宋"/>
          <w:b w:val="0"/>
          <w:bCs/>
          <w:color w:val="000000"/>
          <w:sz w:val="32"/>
          <w:szCs w:val="32"/>
        </w:rPr>
        <w:t>支出决算为112.27万元，完成预算100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700B802">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7.文化旅游体育与传媒（207）文化和旅游（01）群众文化（09）</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支出决算为1.44万元，完成预算100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4D59029">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8.文化旅游体育与传媒（207）文化和旅游（01）其他文化和旅游支出（99）：</w:t>
      </w:r>
      <w:r>
        <w:rPr>
          <w:rStyle w:val="14"/>
          <w:rFonts w:hint="eastAsia" w:ascii="仿宋" w:hAnsi="仿宋" w:eastAsia="仿宋"/>
          <w:b w:val="0"/>
          <w:bCs/>
          <w:color w:val="000000"/>
          <w:sz w:val="32"/>
          <w:szCs w:val="32"/>
        </w:rPr>
        <w:t>支出决算为4.13万元，完成预算100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D91964B">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9.</w:t>
      </w:r>
      <w:r>
        <w:rPr>
          <w:rStyle w:val="14"/>
          <w:rFonts w:hint="eastAsia" w:ascii="仿宋" w:hAnsi="仿宋" w:eastAsia="仿宋"/>
          <w:bCs/>
          <w:color w:val="000000"/>
          <w:sz w:val="32"/>
          <w:szCs w:val="32"/>
        </w:rPr>
        <w:t>文化旅游体育与传媒（207）文物（02）文物保护（04）：</w:t>
      </w:r>
      <w:r>
        <w:rPr>
          <w:rStyle w:val="14"/>
          <w:rFonts w:hint="eastAsia" w:ascii="仿宋" w:hAnsi="仿宋" w:eastAsia="仿宋"/>
          <w:b w:val="0"/>
          <w:bCs/>
          <w:color w:val="000000"/>
          <w:sz w:val="32"/>
          <w:szCs w:val="32"/>
        </w:rPr>
        <w:t>支出决算为0.4万元，完成预算100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60763B3">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10.</w:t>
      </w:r>
      <w:r>
        <w:rPr>
          <w:rStyle w:val="14"/>
          <w:rFonts w:hint="eastAsia" w:ascii="仿宋" w:hAnsi="仿宋" w:eastAsia="仿宋"/>
          <w:bCs/>
          <w:color w:val="000000"/>
          <w:sz w:val="32"/>
          <w:szCs w:val="32"/>
        </w:rPr>
        <w:t>文化旅游体育与传媒（207）新闻出版电影（06）电影（07）:</w:t>
      </w:r>
      <w:r>
        <w:rPr>
          <w:rStyle w:val="14"/>
          <w:rFonts w:hint="eastAsia" w:ascii="仿宋" w:hAnsi="仿宋" w:eastAsia="仿宋"/>
          <w:b w:val="0"/>
          <w:bCs/>
          <w:color w:val="000000"/>
          <w:sz w:val="32"/>
          <w:szCs w:val="32"/>
        </w:rPr>
        <w:t>支出决算为0.76万元，完成预算100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2C08783">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11.</w:t>
      </w:r>
      <w:r>
        <w:rPr>
          <w:rStyle w:val="14"/>
          <w:rFonts w:hint="eastAsia" w:ascii="仿宋" w:hAnsi="仿宋" w:eastAsia="仿宋"/>
          <w:bCs/>
          <w:color w:val="000000"/>
          <w:sz w:val="32"/>
          <w:szCs w:val="32"/>
        </w:rPr>
        <w:t>文化旅游体育与传媒（207）广播电视(08)其他广播电视支出(99):</w:t>
      </w:r>
      <w:r>
        <w:rPr>
          <w:rStyle w:val="14"/>
          <w:rFonts w:hint="eastAsia" w:ascii="仿宋" w:hAnsi="仿宋" w:eastAsia="仿宋"/>
          <w:b w:val="0"/>
          <w:bCs/>
          <w:color w:val="000000"/>
          <w:sz w:val="32"/>
          <w:szCs w:val="32"/>
        </w:rPr>
        <w:t>支出决算为0.17万元，完成预算100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CE3FBD7">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12.</w:t>
      </w:r>
      <w:r>
        <w:rPr>
          <w:rStyle w:val="14"/>
          <w:rFonts w:hint="eastAsia" w:ascii="仿宋" w:hAnsi="仿宋" w:eastAsia="仿宋"/>
          <w:bCs/>
          <w:color w:val="000000"/>
          <w:sz w:val="32"/>
          <w:szCs w:val="32"/>
        </w:rPr>
        <w:t xml:space="preserve">社会保障和就业（208）民政管理事务(02)其他民政管理事务支出(99): </w:t>
      </w:r>
      <w:r>
        <w:rPr>
          <w:rStyle w:val="14"/>
          <w:rFonts w:hint="eastAsia" w:ascii="仿宋" w:hAnsi="仿宋" w:eastAsia="仿宋"/>
          <w:b w:val="0"/>
          <w:bCs/>
          <w:color w:val="000000"/>
          <w:sz w:val="32"/>
          <w:szCs w:val="32"/>
        </w:rPr>
        <w:t>支出决算为2.58万元，完成预算100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EE25978">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13.</w:t>
      </w:r>
      <w:r>
        <w:rPr>
          <w:rStyle w:val="14"/>
          <w:rFonts w:hint="eastAsia" w:ascii="仿宋" w:hAnsi="仿宋" w:eastAsia="仿宋"/>
          <w:bCs/>
          <w:color w:val="000000"/>
          <w:sz w:val="32"/>
          <w:szCs w:val="32"/>
        </w:rPr>
        <w:t>社会保障和就业（208）抚恤(08)死亡抚恤(02):</w:t>
      </w:r>
      <w:r>
        <w:rPr>
          <w:rStyle w:val="14"/>
          <w:rFonts w:hint="eastAsia" w:ascii="仿宋" w:hAnsi="仿宋" w:eastAsia="仿宋"/>
          <w:b w:val="0"/>
          <w:bCs/>
          <w:color w:val="000000"/>
          <w:sz w:val="32"/>
          <w:szCs w:val="32"/>
        </w:rPr>
        <w:t>支出决算为2.59万元，完成预算100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3D74160">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14.</w:t>
      </w:r>
      <w:r>
        <w:rPr>
          <w:rStyle w:val="14"/>
          <w:rFonts w:hint="eastAsia" w:ascii="仿宋" w:hAnsi="仿宋" w:eastAsia="仿宋"/>
          <w:bCs/>
          <w:color w:val="000000"/>
          <w:sz w:val="32"/>
          <w:szCs w:val="32"/>
        </w:rPr>
        <w:t>社会保障和就业（208）抚恤(08)伤残抚恤(02):</w:t>
      </w:r>
      <w:r>
        <w:rPr>
          <w:rStyle w:val="14"/>
          <w:rFonts w:hint="eastAsia" w:ascii="仿宋" w:hAnsi="仿宋" w:eastAsia="仿宋"/>
          <w:b w:val="0"/>
          <w:bCs/>
          <w:color w:val="000000"/>
          <w:sz w:val="32"/>
          <w:szCs w:val="32"/>
        </w:rPr>
        <w:t>支出决算为23.42万元，完成预算100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6A866A6">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15.</w:t>
      </w:r>
      <w:r>
        <w:rPr>
          <w:rStyle w:val="14"/>
          <w:rFonts w:hint="eastAsia" w:ascii="仿宋" w:hAnsi="仿宋" w:eastAsia="仿宋"/>
          <w:bCs/>
          <w:color w:val="000000"/>
          <w:sz w:val="32"/>
          <w:szCs w:val="32"/>
        </w:rPr>
        <w:t>社会保障和就业（208）抚恤(08)在乡复员、退伍军人生活补助(03):</w:t>
      </w:r>
      <w:r>
        <w:rPr>
          <w:rStyle w:val="14"/>
          <w:rFonts w:hint="eastAsia" w:ascii="仿宋" w:hAnsi="仿宋" w:eastAsia="仿宋"/>
          <w:b w:val="0"/>
          <w:bCs/>
          <w:color w:val="000000"/>
          <w:sz w:val="32"/>
          <w:szCs w:val="32"/>
        </w:rPr>
        <w:t>支出决算为63.66万元，完成预算100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B44277D">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16.</w:t>
      </w:r>
      <w:r>
        <w:rPr>
          <w:rStyle w:val="14"/>
          <w:rFonts w:hint="eastAsia" w:ascii="仿宋" w:hAnsi="仿宋" w:eastAsia="仿宋"/>
          <w:bCs/>
          <w:color w:val="000000"/>
          <w:sz w:val="32"/>
          <w:szCs w:val="32"/>
        </w:rPr>
        <w:t>社会保障和就业（208）抚恤(08)农村籍退役士兵老年生活补助(06):</w:t>
      </w:r>
      <w:r>
        <w:rPr>
          <w:rStyle w:val="14"/>
          <w:rFonts w:hint="eastAsia" w:ascii="仿宋" w:hAnsi="仿宋" w:eastAsia="仿宋"/>
          <w:b w:val="0"/>
          <w:bCs/>
          <w:color w:val="000000"/>
          <w:sz w:val="32"/>
          <w:szCs w:val="32"/>
        </w:rPr>
        <w:t>支出决算为32.83万元，完成预算100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3B79F46">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17.</w:t>
      </w:r>
      <w:r>
        <w:rPr>
          <w:rStyle w:val="14"/>
          <w:rFonts w:hint="eastAsia" w:ascii="仿宋" w:hAnsi="仿宋" w:eastAsia="仿宋"/>
          <w:bCs/>
          <w:color w:val="000000"/>
          <w:sz w:val="32"/>
          <w:szCs w:val="32"/>
        </w:rPr>
        <w:t>社会保障和就业（208）退役安置(09)军队移交政府的离退休人员安置(02):</w:t>
      </w:r>
      <w:r>
        <w:rPr>
          <w:rStyle w:val="14"/>
          <w:rFonts w:hint="eastAsia" w:ascii="仿宋" w:hAnsi="仿宋" w:eastAsia="仿宋"/>
          <w:b w:val="0"/>
          <w:bCs/>
          <w:color w:val="000000"/>
          <w:sz w:val="32"/>
          <w:szCs w:val="32"/>
        </w:rPr>
        <w:t>支出决算为1.22万元，完成预算100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E21E69C">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18.</w:t>
      </w:r>
      <w:r>
        <w:rPr>
          <w:rStyle w:val="14"/>
          <w:rFonts w:hint="eastAsia" w:ascii="仿宋" w:hAnsi="仿宋" w:eastAsia="仿宋"/>
          <w:bCs/>
          <w:color w:val="000000"/>
          <w:sz w:val="32"/>
          <w:szCs w:val="32"/>
        </w:rPr>
        <w:t>社会保障和就业（208）社会福利(10)老年福利(02):</w:t>
      </w:r>
      <w:r>
        <w:rPr>
          <w:rStyle w:val="14"/>
          <w:rFonts w:hint="eastAsia" w:ascii="仿宋" w:hAnsi="仿宋" w:eastAsia="仿宋"/>
          <w:b w:val="0"/>
          <w:bCs/>
          <w:color w:val="000000"/>
          <w:sz w:val="32"/>
          <w:szCs w:val="32"/>
        </w:rPr>
        <w:t>支出决算为0.84万元，完成预算100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063C84E">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19.</w:t>
      </w:r>
      <w:r>
        <w:rPr>
          <w:rStyle w:val="14"/>
          <w:rFonts w:hint="eastAsia" w:ascii="仿宋" w:hAnsi="仿宋" w:eastAsia="仿宋"/>
          <w:bCs/>
          <w:color w:val="000000"/>
          <w:sz w:val="32"/>
          <w:szCs w:val="32"/>
        </w:rPr>
        <w:t>社会保障和就业（208）社会福利(10)殡葬(04):</w:t>
      </w:r>
      <w:r>
        <w:rPr>
          <w:rStyle w:val="14"/>
          <w:rFonts w:hint="eastAsia" w:ascii="仿宋" w:hAnsi="仿宋" w:eastAsia="仿宋"/>
          <w:b w:val="0"/>
          <w:bCs/>
          <w:color w:val="000000"/>
          <w:sz w:val="32"/>
          <w:szCs w:val="32"/>
        </w:rPr>
        <w:t>支出决算为0.08万元，完成预算100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3F70441">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20.</w:t>
      </w:r>
      <w:r>
        <w:rPr>
          <w:rStyle w:val="14"/>
          <w:rFonts w:hint="eastAsia" w:ascii="仿宋" w:hAnsi="仿宋" w:eastAsia="仿宋"/>
          <w:bCs/>
          <w:color w:val="000000"/>
          <w:sz w:val="32"/>
          <w:szCs w:val="32"/>
        </w:rPr>
        <w:t>社会保障和就业（208）残疾人事业(11)残疾人生活和护理补贴(07):</w:t>
      </w:r>
      <w:r>
        <w:rPr>
          <w:rStyle w:val="14"/>
          <w:rFonts w:hint="eastAsia" w:ascii="仿宋" w:hAnsi="仿宋" w:eastAsia="仿宋"/>
          <w:b w:val="0"/>
          <w:bCs/>
          <w:color w:val="000000"/>
          <w:sz w:val="32"/>
          <w:szCs w:val="32"/>
        </w:rPr>
        <w:t>支出决算为14.96万元，完成预算100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78193A0">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21.</w:t>
      </w:r>
      <w:r>
        <w:rPr>
          <w:rStyle w:val="14"/>
          <w:rFonts w:hint="eastAsia" w:ascii="仿宋" w:hAnsi="仿宋" w:eastAsia="仿宋"/>
          <w:bCs/>
          <w:color w:val="000000"/>
          <w:sz w:val="32"/>
          <w:szCs w:val="32"/>
        </w:rPr>
        <w:t>社会保障和就业（208）特困人员救助供养(21)农村特困人员救助供养支出(02):</w:t>
      </w:r>
      <w:r>
        <w:rPr>
          <w:rStyle w:val="14"/>
          <w:rFonts w:hint="eastAsia" w:ascii="仿宋" w:hAnsi="仿宋" w:eastAsia="仿宋"/>
          <w:b w:val="0"/>
          <w:bCs/>
          <w:color w:val="000000"/>
          <w:sz w:val="32"/>
          <w:szCs w:val="32"/>
        </w:rPr>
        <w:t>支出决算为16.6万元，完成预算100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1341627">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22.</w:t>
      </w:r>
      <w:r>
        <w:rPr>
          <w:rStyle w:val="14"/>
          <w:rFonts w:hint="eastAsia" w:ascii="仿宋" w:hAnsi="仿宋" w:eastAsia="仿宋"/>
          <w:bCs/>
          <w:color w:val="000000"/>
          <w:sz w:val="32"/>
          <w:szCs w:val="32"/>
        </w:rPr>
        <w:t>社会保障和就业（208）其他生活救助(25)其他农村生活救助(02):</w:t>
      </w:r>
      <w:r>
        <w:rPr>
          <w:rStyle w:val="14"/>
          <w:rFonts w:hint="eastAsia" w:ascii="仿宋" w:hAnsi="仿宋" w:eastAsia="仿宋"/>
          <w:b w:val="0"/>
          <w:bCs/>
          <w:color w:val="000000"/>
          <w:sz w:val="32"/>
          <w:szCs w:val="32"/>
        </w:rPr>
        <w:t>支出决算为1.92万元，完成预算100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F459F21">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23.</w:t>
      </w:r>
      <w:r>
        <w:rPr>
          <w:rStyle w:val="14"/>
          <w:rFonts w:hint="eastAsia" w:ascii="仿宋" w:hAnsi="仿宋" w:eastAsia="仿宋"/>
          <w:bCs/>
          <w:color w:val="000000"/>
          <w:sz w:val="32"/>
          <w:szCs w:val="32"/>
        </w:rPr>
        <w:t>社会保障和就业（208）退役军人管理事务(28)其他退役军人事务管理支出(99):</w:t>
      </w:r>
      <w:r>
        <w:rPr>
          <w:rStyle w:val="14"/>
          <w:rFonts w:hint="eastAsia" w:ascii="仿宋" w:hAnsi="仿宋" w:eastAsia="仿宋"/>
          <w:b w:val="0"/>
          <w:bCs/>
          <w:color w:val="000000"/>
          <w:sz w:val="32"/>
          <w:szCs w:val="32"/>
        </w:rPr>
        <w:t>支出决算为50万元，完成预算100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8417EE0">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24.</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（210）卫生健康管理事务(01)其他卫生健康管理事务支出(99):</w:t>
      </w:r>
      <w:r>
        <w:rPr>
          <w:rStyle w:val="14"/>
          <w:rFonts w:hint="eastAsia" w:ascii="仿宋" w:hAnsi="仿宋" w:eastAsia="仿宋"/>
          <w:b w:val="0"/>
          <w:bCs/>
          <w:color w:val="000000"/>
          <w:sz w:val="32"/>
          <w:szCs w:val="32"/>
        </w:rPr>
        <w:t>支出决算为2.5万元，完成预算100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D280B12">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25.</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（210）基层医疗卫生机构(03)其他基层医疗卫生机构支出（99）：</w:t>
      </w:r>
      <w:r>
        <w:rPr>
          <w:rStyle w:val="14"/>
          <w:rFonts w:hint="eastAsia" w:ascii="仿宋" w:hAnsi="仿宋" w:eastAsia="仿宋"/>
          <w:b w:val="0"/>
          <w:bCs/>
          <w:color w:val="000000"/>
          <w:sz w:val="32"/>
          <w:szCs w:val="32"/>
        </w:rPr>
        <w:t>支出决算为82.26万元，完成预算100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27B3BAE">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26.</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（210）公共卫生（04）基本公共卫生服务（08）：</w:t>
      </w:r>
      <w:r>
        <w:rPr>
          <w:rStyle w:val="14"/>
          <w:rFonts w:hint="eastAsia" w:ascii="仿宋" w:hAnsi="仿宋" w:eastAsia="仿宋"/>
          <w:b w:val="0"/>
          <w:bCs/>
          <w:color w:val="000000"/>
          <w:sz w:val="32"/>
          <w:szCs w:val="32"/>
        </w:rPr>
        <w:t>支出决算为270.32万元，完成预算100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6EAC68D">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27.</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（210）公共卫生（04）其他公共卫生支出（99）：</w:t>
      </w:r>
      <w:r>
        <w:rPr>
          <w:rStyle w:val="14"/>
          <w:rFonts w:hint="eastAsia" w:ascii="仿宋" w:hAnsi="仿宋" w:eastAsia="仿宋"/>
          <w:b w:val="0"/>
          <w:bCs/>
          <w:color w:val="000000"/>
          <w:sz w:val="32"/>
          <w:szCs w:val="32"/>
        </w:rPr>
        <w:t>支出决算为37.99万元，完成预算100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9FE8751">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28.</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（210）计划生育事务（07）计划生育服务（17）：</w:t>
      </w:r>
      <w:r>
        <w:rPr>
          <w:rStyle w:val="14"/>
          <w:rFonts w:hint="eastAsia" w:ascii="仿宋" w:hAnsi="仿宋" w:eastAsia="仿宋"/>
          <w:b w:val="0"/>
          <w:bCs/>
          <w:color w:val="000000"/>
          <w:sz w:val="32"/>
          <w:szCs w:val="32"/>
        </w:rPr>
        <w:t>支出决算为8.15万元，完成预算100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4E489D8">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29.</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（210）计划生育事务（07）其他计划生育事务支出（99）：</w:t>
      </w:r>
      <w:r>
        <w:rPr>
          <w:rStyle w:val="14"/>
          <w:rFonts w:hint="eastAsia" w:ascii="仿宋" w:hAnsi="仿宋" w:eastAsia="仿宋"/>
          <w:b w:val="0"/>
          <w:bCs/>
          <w:color w:val="000000"/>
          <w:sz w:val="32"/>
          <w:szCs w:val="32"/>
        </w:rPr>
        <w:t>支出决算为73.43万元，完成预算100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E3E6493">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30.</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（210）优抚对象医疗（14）优抚对象医疗补助（01）：</w:t>
      </w:r>
      <w:r>
        <w:rPr>
          <w:rStyle w:val="14"/>
          <w:rFonts w:hint="eastAsia" w:ascii="仿宋" w:hAnsi="仿宋" w:eastAsia="仿宋"/>
          <w:b w:val="0"/>
          <w:bCs/>
          <w:color w:val="000000"/>
          <w:sz w:val="32"/>
          <w:szCs w:val="32"/>
        </w:rPr>
        <w:t>支出决算为8.84万元，完成预算100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2BC7CB8">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31..</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（210）其他卫生健康支出（99）其他卫生健康支出（01）：</w:t>
      </w:r>
      <w:r>
        <w:rPr>
          <w:rStyle w:val="14"/>
          <w:rFonts w:hint="eastAsia" w:ascii="仿宋" w:hAnsi="仿宋" w:eastAsia="仿宋"/>
          <w:b w:val="0"/>
          <w:bCs/>
          <w:color w:val="000000"/>
          <w:sz w:val="32"/>
          <w:szCs w:val="32"/>
        </w:rPr>
        <w:t>支出决算为4.29万元，完成预算100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2D6C6D3">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32.</w:t>
      </w:r>
      <w:r>
        <w:rPr>
          <w:rFonts w:hint="eastAsia" w:ascii="仿宋" w:hAnsi="仿宋" w:eastAsia="仿宋"/>
          <w:b/>
          <w:bCs/>
          <w:color w:val="000000" w:themeColor="text1"/>
          <w:sz w:val="32"/>
          <w:szCs w:val="32"/>
        </w:rPr>
        <w:t>城乡社区支出（212）城乡社区环境卫生（05）城乡社区环境卫生（01）：</w:t>
      </w:r>
      <w:r>
        <w:rPr>
          <w:rStyle w:val="14"/>
          <w:rFonts w:hint="eastAsia" w:ascii="仿宋" w:hAnsi="仿宋" w:eastAsia="仿宋"/>
          <w:b w:val="0"/>
          <w:bCs/>
          <w:color w:val="000000"/>
          <w:sz w:val="32"/>
          <w:szCs w:val="32"/>
        </w:rPr>
        <w:t>支出决算为1.32万元，完成预算100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C76825E">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33.</w:t>
      </w:r>
      <w:r>
        <w:rPr>
          <w:rFonts w:hint="eastAsia" w:ascii="仿宋" w:hAnsi="仿宋" w:eastAsia="仿宋"/>
          <w:b/>
          <w:color w:val="000000" w:themeColor="text1"/>
          <w:sz w:val="32"/>
          <w:szCs w:val="32"/>
        </w:rPr>
        <w:t>农林水支出（213）农业（01）行政运行（01）：</w:t>
      </w:r>
      <w:r>
        <w:rPr>
          <w:rStyle w:val="14"/>
          <w:rFonts w:hint="eastAsia" w:ascii="仿宋" w:hAnsi="仿宋" w:eastAsia="仿宋"/>
          <w:b w:val="0"/>
          <w:bCs/>
          <w:color w:val="000000"/>
          <w:sz w:val="32"/>
          <w:szCs w:val="32"/>
        </w:rPr>
        <w:t>支出决算为6.11万元，完成预算100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ADF4C24">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34.</w:t>
      </w:r>
      <w:r>
        <w:rPr>
          <w:rFonts w:hint="eastAsia" w:ascii="仿宋" w:hAnsi="仿宋" w:eastAsia="仿宋"/>
          <w:b/>
          <w:color w:val="000000" w:themeColor="text1"/>
          <w:sz w:val="32"/>
          <w:szCs w:val="32"/>
        </w:rPr>
        <w:t>农林水支出（213）农业（01）病虫害控制（08）：</w:t>
      </w:r>
      <w:r>
        <w:rPr>
          <w:rStyle w:val="14"/>
          <w:rFonts w:hint="eastAsia" w:ascii="仿宋" w:hAnsi="仿宋" w:eastAsia="仿宋"/>
          <w:b w:val="0"/>
          <w:bCs/>
          <w:color w:val="000000"/>
          <w:sz w:val="32"/>
          <w:szCs w:val="32"/>
        </w:rPr>
        <w:t>支出决算为28.11万元，完成预算100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4CDB0C0">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35.</w:t>
      </w:r>
      <w:r>
        <w:rPr>
          <w:rFonts w:hint="eastAsia" w:ascii="仿宋" w:hAnsi="仿宋" w:eastAsia="仿宋"/>
          <w:b/>
          <w:color w:val="000000" w:themeColor="text1"/>
          <w:sz w:val="32"/>
          <w:szCs w:val="32"/>
        </w:rPr>
        <w:t>农林水支出（213）农业（01）农产品质量安全（09）：</w:t>
      </w:r>
      <w:r>
        <w:rPr>
          <w:rStyle w:val="14"/>
          <w:rFonts w:hint="eastAsia" w:ascii="仿宋" w:hAnsi="仿宋" w:eastAsia="仿宋"/>
          <w:b w:val="0"/>
          <w:bCs/>
          <w:color w:val="000000"/>
          <w:sz w:val="32"/>
          <w:szCs w:val="32"/>
        </w:rPr>
        <w:t>支出决算为1.76万元，完成预算100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9A475A7">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36.</w:t>
      </w:r>
      <w:r>
        <w:rPr>
          <w:rFonts w:hint="eastAsia" w:ascii="仿宋" w:hAnsi="仿宋" w:eastAsia="仿宋"/>
          <w:b/>
          <w:color w:val="000000" w:themeColor="text1"/>
          <w:sz w:val="32"/>
          <w:szCs w:val="32"/>
        </w:rPr>
        <w:t>农林水支出（213）农业（01）农业资源保护修复与利用（35）：</w:t>
      </w:r>
      <w:r>
        <w:rPr>
          <w:rStyle w:val="14"/>
          <w:rFonts w:hint="eastAsia" w:ascii="仿宋" w:hAnsi="仿宋" w:eastAsia="仿宋"/>
          <w:b w:val="0"/>
          <w:bCs/>
          <w:color w:val="000000"/>
          <w:sz w:val="32"/>
          <w:szCs w:val="32"/>
        </w:rPr>
        <w:t>支出决算为1.1万元，完成预算100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994FE6C">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37.</w:t>
      </w:r>
      <w:r>
        <w:rPr>
          <w:rFonts w:hint="eastAsia" w:ascii="仿宋" w:hAnsi="仿宋" w:eastAsia="仿宋"/>
          <w:b/>
          <w:color w:val="000000" w:themeColor="text1"/>
          <w:sz w:val="32"/>
          <w:szCs w:val="32"/>
        </w:rPr>
        <w:t>农林水支出（213）农业（01）其他农业支出（99）：</w:t>
      </w:r>
      <w:r>
        <w:rPr>
          <w:rStyle w:val="14"/>
          <w:rFonts w:hint="eastAsia" w:ascii="仿宋" w:hAnsi="仿宋" w:eastAsia="仿宋"/>
          <w:b w:val="0"/>
          <w:bCs/>
          <w:color w:val="000000"/>
          <w:sz w:val="32"/>
          <w:szCs w:val="32"/>
        </w:rPr>
        <w:t>支出决算为28.75万元，完成预算100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6944309">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38.</w:t>
      </w:r>
      <w:r>
        <w:rPr>
          <w:rFonts w:hint="eastAsia" w:ascii="仿宋" w:hAnsi="仿宋" w:eastAsia="仿宋"/>
          <w:b/>
          <w:color w:val="000000" w:themeColor="text1"/>
          <w:sz w:val="32"/>
          <w:szCs w:val="32"/>
        </w:rPr>
        <w:t>农林水支出（213）林业和草原（02）防灾减灾（34）：</w:t>
      </w:r>
      <w:r>
        <w:rPr>
          <w:rStyle w:val="14"/>
          <w:rFonts w:hint="eastAsia" w:ascii="仿宋" w:hAnsi="仿宋" w:eastAsia="仿宋"/>
          <w:b w:val="0"/>
          <w:bCs/>
          <w:color w:val="000000"/>
          <w:sz w:val="32"/>
          <w:szCs w:val="32"/>
        </w:rPr>
        <w:t>支出决算为0.01万元，完成预算100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57F6259">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39.</w:t>
      </w:r>
      <w:r>
        <w:rPr>
          <w:rFonts w:hint="eastAsia" w:ascii="仿宋" w:hAnsi="仿宋" w:eastAsia="仿宋"/>
          <w:b/>
          <w:color w:val="000000" w:themeColor="text1"/>
          <w:sz w:val="32"/>
          <w:szCs w:val="32"/>
        </w:rPr>
        <w:t>农林水支出（213）水利（03）大中型水库移民后期扶持专项支出（21）：</w:t>
      </w:r>
      <w:r>
        <w:rPr>
          <w:rStyle w:val="14"/>
          <w:rFonts w:hint="eastAsia" w:ascii="仿宋" w:hAnsi="仿宋" w:eastAsia="仿宋"/>
          <w:b w:val="0"/>
          <w:bCs/>
          <w:color w:val="000000"/>
          <w:sz w:val="32"/>
          <w:szCs w:val="32"/>
        </w:rPr>
        <w:t>支出决算为7.51万元，完成预算100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C83D72C">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40.</w:t>
      </w:r>
      <w:r>
        <w:rPr>
          <w:rFonts w:hint="eastAsia" w:ascii="仿宋" w:hAnsi="仿宋" w:eastAsia="仿宋"/>
          <w:b/>
          <w:color w:val="000000" w:themeColor="text1"/>
          <w:sz w:val="32"/>
          <w:szCs w:val="32"/>
        </w:rPr>
        <w:t>农林水支出（213）扶贫（05）一般行政管理事务（02）：</w:t>
      </w:r>
      <w:r>
        <w:rPr>
          <w:rStyle w:val="14"/>
          <w:rFonts w:hint="eastAsia" w:ascii="仿宋" w:hAnsi="仿宋" w:eastAsia="仿宋"/>
          <w:b w:val="0"/>
          <w:bCs/>
          <w:color w:val="000000"/>
          <w:sz w:val="32"/>
          <w:szCs w:val="32"/>
        </w:rPr>
        <w:t>支出决算为3.8万元，完成预算100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A619B3C">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41.</w:t>
      </w:r>
      <w:r>
        <w:rPr>
          <w:rFonts w:hint="eastAsia" w:ascii="仿宋" w:hAnsi="仿宋" w:eastAsia="仿宋"/>
          <w:b/>
          <w:color w:val="000000" w:themeColor="text1"/>
          <w:sz w:val="32"/>
          <w:szCs w:val="32"/>
        </w:rPr>
        <w:t>农林水支出（213）扶贫（05）农村基础设施建设（04）：</w:t>
      </w:r>
      <w:r>
        <w:rPr>
          <w:rStyle w:val="14"/>
          <w:rFonts w:hint="eastAsia" w:ascii="仿宋" w:hAnsi="仿宋" w:eastAsia="仿宋"/>
          <w:b w:val="0"/>
          <w:bCs/>
          <w:color w:val="000000"/>
          <w:sz w:val="32"/>
          <w:szCs w:val="32"/>
        </w:rPr>
        <w:t>支出决算为1.2万元，完成预算100</w:t>
      </w:r>
      <w:r>
        <w:rPr>
          <w:rStyle w:val="14"/>
          <w:rFonts w:ascii="仿宋" w:hAnsi="仿宋" w:eastAsia="仿宋"/>
          <w:b w:val="0"/>
          <w:bCs/>
          <w:color w:val="000000"/>
          <w:sz w:val="32"/>
          <w:szCs w:val="32"/>
        </w:rPr>
        <w:t>%</w:t>
      </w:r>
    </w:p>
    <w:p w14:paraId="2294563C">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42.</w:t>
      </w:r>
      <w:r>
        <w:rPr>
          <w:rFonts w:hint="eastAsia" w:ascii="仿宋" w:hAnsi="仿宋" w:eastAsia="仿宋"/>
          <w:b/>
          <w:color w:val="000000" w:themeColor="text1"/>
          <w:sz w:val="32"/>
          <w:szCs w:val="32"/>
        </w:rPr>
        <w:t>农林水支出（213）扶贫（05）生产发展（05）：</w:t>
      </w:r>
      <w:r>
        <w:rPr>
          <w:rStyle w:val="14"/>
          <w:rFonts w:hint="eastAsia" w:ascii="仿宋" w:hAnsi="仿宋" w:eastAsia="仿宋"/>
          <w:b w:val="0"/>
          <w:bCs/>
          <w:color w:val="000000"/>
          <w:sz w:val="32"/>
          <w:szCs w:val="32"/>
        </w:rPr>
        <w:t>支出决算为12.5万元，完成预算100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3823E11">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43.</w:t>
      </w:r>
      <w:r>
        <w:rPr>
          <w:rFonts w:hint="eastAsia" w:ascii="仿宋" w:hAnsi="仿宋" w:eastAsia="仿宋"/>
          <w:b/>
          <w:color w:val="000000" w:themeColor="text1"/>
          <w:sz w:val="32"/>
          <w:szCs w:val="32"/>
        </w:rPr>
        <w:t>农林水支出（213）扶贫（05）社会发展（06）：</w:t>
      </w:r>
      <w:r>
        <w:rPr>
          <w:rStyle w:val="14"/>
          <w:rFonts w:hint="eastAsia" w:ascii="仿宋" w:hAnsi="仿宋" w:eastAsia="仿宋"/>
          <w:b w:val="0"/>
          <w:bCs/>
          <w:color w:val="000000"/>
          <w:sz w:val="32"/>
          <w:szCs w:val="32"/>
        </w:rPr>
        <w:t>支出决算为8.04万元，完成预算100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A36845D">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44.</w:t>
      </w:r>
      <w:r>
        <w:rPr>
          <w:rFonts w:hint="eastAsia" w:ascii="仿宋" w:hAnsi="仿宋" w:eastAsia="仿宋"/>
          <w:b/>
          <w:color w:val="000000" w:themeColor="text1"/>
          <w:sz w:val="32"/>
          <w:szCs w:val="32"/>
        </w:rPr>
        <w:t>农林水支出（213）扶贫（05）扶贫贷款奖补和贴息（07）：</w:t>
      </w:r>
      <w:r>
        <w:rPr>
          <w:rStyle w:val="14"/>
          <w:rFonts w:hint="eastAsia" w:ascii="仿宋" w:hAnsi="仿宋" w:eastAsia="仿宋"/>
          <w:b w:val="0"/>
          <w:bCs/>
          <w:color w:val="000000"/>
          <w:sz w:val="32"/>
          <w:szCs w:val="32"/>
        </w:rPr>
        <w:t>支出决算为8.68万元，完成预算100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F67E30B">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45.</w:t>
      </w:r>
      <w:r>
        <w:rPr>
          <w:rFonts w:hint="eastAsia" w:ascii="仿宋" w:hAnsi="仿宋" w:eastAsia="仿宋"/>
          <w:b/>
          <w:color w:val="000000" w:themeColor="text1"/>
          <w:sz w:val="32"/>
          <w:szCs w:val="32"/>
        </w:rPr>
        <w:t>农林水支出（213）扶贫（05）其他扶贫支出（99）：</w:t>
      </w:r>
      <w:r>
        <w:rPr>
          <w:rStyle w:val="14"/>
          <w:rFonts w:hint="eastAsia" w:ascii="仿宋" w:hAnsi="仿宋" w:eastAsia="仿宋"/>
          <w:b w:val="0"/>
          <w:bCs/>
          <w:color w:val="000000"/>
          <w:sz w:val="32"/>
          <w:szCs w:val="32"/>
        </w:rPr>
        <w:t>支出决算为19.88万元，完成预算100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99DBBD3">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46.</w:t>
      </w:r>
      <w:r>
        <w:rPr>
          <w:rFonts w:hint="eastAsia" w:ascii="仿宋" w:hAnsi="仿宋" w:eastAsia="仿宋"/>
          <w:b/>
          <w:color w:val="000000" w:themeColor="text1"/>
          <w:sz w:val="32"/>
          <w:szCs w:val="32"/>
        </w:rPr>
        <w:t>农林水支出（213）农村综合改革（07）对村集体经济组织的补助（06）：</w:t>
      </w:r>
      <w:r>
        <w:rPr>
          <w:rStyle w:val="14"/>
          <w:rFonts w:hint="eastAsia" w:ascii="仿宋" w:hAnsi="仿宋" w:eastAsia="仿宋"/>
          <w:b w:val="0"/>
          <w:bCs/>
          <w:color w:val="000000"/>
          <w:sz w:val="32"/>
          <w:szCs w:val="32"/>
        </w:rPr>
        <w:t>支出决算为12万元，完成预算100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C112EEF">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47.</w:t>
      </w:r>
      <w:r>
        <w:rPr>
          <w:rFonts w:hint="eastAsia" w:ascii="仿宋" w:hAnsi="仿宋" w:eastAsia="仿宋"/>
          <w:b/>
          <w:color w:val="000000" w:themeColor="text1"/>
          <w:sz w:val="32"/>
          <w:szCs w:val="32"/>
        </w:rPr>
        <w:t>农林水支出（213）农村综合改革（07）其他农村综合改革支出（99）：</w:t>
      </w:r>
      <w:r>
        <w:rPr>
          <w:rStyle w:val="14"/>
          <w:rFonts w:hint="eastAsia" w:ascii="仿宋" w:hAnsi="仿宋" w:eastAsia="仿宋"/>
          <w:b w:val="0"/>
          <w:bCs/>
          <w:color w:val="000000"/>
          <w:sz w:val="32"/>
          <w:szCs w:val="32"/>
        </w:rPr>
        <w:t>支出决算为11.4万元，完成预算100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FEEB037">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48.</w:t>
      </w:r>
      <w:r>
        <w:rPr>
          <w:rFonts w:hint="eastAsia" w:ascii="仿宋" w:hAnsi="仿宋" w:eastAsia="仿宋"/>
          <w:b/>
          <w:bCs/>
          <w:color w:val="000000" w:themeColor="text1"/>
          <w:sz w:val="32"/>
          <w:szCs w:val="32"/>
        </w:rPr>
        <w:t>金融支出（217）金融发展支出（03）利息费用补贴支出（02）：</w:t>
      </w:r>
      <w:r>
        <w:rPr>
          <w:rStyle w:val="14"/>
          <w:rFonts w:hint="eastAsia" w:ascii="仿宋" w:hAnsi="仿宋" w:eastAsia="仿宋"/>
          <w:b w:val="0"/>
          <w:bCs/>
          <w:color w:val="000000"/>
          <w:sz w:val="32"/>
          <w:szCs w:val="32"/>
        </w:rPr>
        <w:t>支出决算为93.77万元，完成预算100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4B63C3B">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49.</w:t>
      </w:r>
      <w:r>
        <w:rPr>
          <w:rFonts w:hint="eastAsia" w:ascii="仿宋" w:hAnsi="仿宋" w:eastAsia="仿宋"/>
          <w:b/>
          <w:bCs/>
          <w:color w:val="000000" w:themeColor="text1"/>
          <w:sz w:val="32"/>
          <w:szCs w:val="32"/>
        </w:rPr>
        <w:t>金融支出（217）其他金融支出（99）其他金融支出（01）：</w:t>
      </w:r>
      <w:r>
        <w:rPr>
          <w:rStyle w:val="14"/>
          <w:rFonts w:hint="eastAsia" w:ascii="仿宋" w:hAnsi="仿宋" w:eastAsia="仿宋"/>
          <w:b w:val="0"/>
          <w:bCs/>
          <w:color w:val="000000"/>
          <w:sz w:val="32"/>
          <w:szCs w:val="32"/>
        </w:rPr>
        <w:t>支出决算为6.3万元，完成预算100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483925E">
      <w:pPr>
        <w:spacing w:line="600" w:lineRule="exact"/>
        <w:ind w:left="420" w:left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50.</w:t>
      </w:r>
      <w:r>
        <w:rPr>
          <w:rFonts w:hint="eastAsia" w:ascii="仿宋" w:hAnsi="仿宋" w:eastAsia="仿宋"/>
          <w:b/>
          <w:bCs/>
          <w:color w:val="000000" w:themeColor="text1"/>
          <w:sz w:val="32"/>
          <w:szCs w:val="32"/>
        </w:rPr>
        <w:t>灾害防治及应急管理支出（224）自然灾害救灾及恢复重建支出（07） 中央自然灾害生活补助（01）：</w:t>
      </w:r>
      <w:r>
        <w:rPr>
          <w:rStyle w:val="14"/>
          <w:rFonts w:hint="eastAsia" w:ascii="仿宋" w:hAnsi="仿宋" w:eastAsia="仿宋"/>
          <w:b w:val="0"/>
          <w:bCs/>
          <w:color w:val="000000"/>
          <w:sz w:val="32"/>
          <w:szCs w:val="32"/>
        </w:rPr>
        <w:t>支出决算为15.57万元，完成预算100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EC8A76F">
      <w:pPr>
        <w:spacing w:line="600" w:lineRule="exact"/>
        <w:ind w:left="420" w:leftChars="200"/>
        <w:rPr>
          <w:rStyle w:val="14"/>
          <w:rFonts w:ascii="仿宋" w:hAnsi="仿宋" w:eastAsia="仿宋"/>
          <w:b w:val="0"/>
          <w:bCs/>
          <w:color w:val="000000"/>
          <w:sz w:val="32"/>
          <w:szCs w:val="32"/>
        </w:rPr>
      </w:pPr>
    </w:p>
    <w:p w14:paraId="4F893E76">
      <w:pPr>
        <w:spacing w:line="600" w:lineRule="exact"/>
        <w:ind w:firstLine="643" w:firstLineChars="200"/>
        <w:rPr>
          <w:rFonts w:eastAsiaTheme="majorEastAsia"/>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表，罗列全部功能分类科目至项级。上述“预算”口径为调整预算数。增减变动原因为决算数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14:paraId="79DEE23F">
      <w:pPr>
        <w:pStyle w:val="3"/>
        <w:ind w:firstLine="643" w:firstLineChars="200"/>
      </w:pPr>
      <w:bookmarkStart w:id="53" w:name="_Toc32248"/>
      <w:bookmarkStart w:id="54" w:name="_Toc15396608"/>
      <w:bookmarkStart w:id="55" w:name="_Toc15377214"/>
      <w:r>
        <w:rPr>
          <w:rFonts w:hint="eastAsia"/>
        </w:rPr>
        <w:t>六、一般公共预算财政拨款基本支出决算情况说明</w:t>
      </w:r>
      <w:bookmarkEnd w:id="53"/>
      <w:bookmarkEnd w:id="54"/>
      <w:bookmarkEnd w:id="55"/>
      <w:r>
        <w:rPr>
          <w:rFonts w:hint="eastAsia"/>
        </w:rPr>
        <w:tab/>
      </w:r>
    </w:p>
    <w:p w14:paraId="247DA8FD">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9年一般公共预算财政拨款基本支出94.21万元，其中：</w:t>
      </w:r>
    </w:p>
    <w:p w14:paraId="63C4D102">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44.35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49.86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87D0712">
      <w:pPr>
        <w:pStyle w:val="3"/>
        <w:ind w:firstLine="643" w:firstLineChars="200"/>
      </w:pPr>
      <w:bookmarkStart w:id="56" w:name="_Toc15377215"/>
      <w:bookmarkStart w:id="57" w:name="_Toc15592"/>
      <w:bookmarkStart w:id="58" w:name="_Toc15396609"/>
      <w:r>
        <w:rPr>
          <w:rFonts w:hint="eastAsia"/>
        </w:rPr>
        <w:t>七、“三公”经费财政拨款支出决算情况说明</w:t>
      </w:r>
      <w:bookmarkEnd w:id="56"/>
      <w:bookmarkEnd w:id="57"/>
      <w:bookmarkEnd w:id="58"/>
    </w:p>
    <w:p w14:paraId="17F5BA4F">
      <w:pPr>
        <w:spacing w:line="600" w:lineRule="exact"/>
        <w:ind w:firstLine="640"/>
        <w:outlineLvl w:val="2"/>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14:paraId="083AC80E">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9年“三公”经费财政拨款支出决算为0.42万元，完成预算100</w:t>
      </w:r>
      <w:r>
        <w:rPr>
          <w:rFonts w:ascii="仿宋" w:hAnsi="仿宋" w:eastAsia="仿宋"/>
          <w:color w:val="000000"/>
          <w:sz w:val="32"/>
          <w:szCs w:val="32"/>
        </w:rPr>
        <w:t>%</w:t>
      </w:r>
      <w:r>
        <w:rPr>
          <w:rFonts w:hint="eastAsia" w:ascii="仿宋" w:hAnsi="仿宋" w:eastAsia="仿宋"/>
          <w:color w:val="000000"/>
          <w:sz w:val="32"/>
          <w:szCs w:val="32"/>
        </w:rPr>
        <w:t>。</w:t>
      </w:r>
    </w:p>
    <w:p w14:paraId="6328EC5A">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14:paraId="1421CB3D">
      <w:pPr>
        <w:spacing w:line="600" w:lineRule="exact"/>
        <w:ind w:firstLine="640"/>
        <w:outlineLvl w:val="2"/>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14:paraId="7741669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9年“三公”经费财政拨款支出决算中，因公出国（境）费支出决算万元，占</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；公务用车购置及运行维护费支出决算万元，占</w:t>
      </w:r>
      <w:r>
        <w:rPr>
          <w:rFonts w:ascii="仿宋" w:hAnsi="仿宋" w:eastAsia="仿宋"/>
          <w:color w:val="000000"/>
          <w:sz w:val="32"/>
          <w:szCs w:val="32"/>
        </w:rPr>
        <w:t>%</w:t>
      </w:r>
      <w:r>
        <w:rPr>
          <w:rFonts w:hint="eastAsia" w:ascii="仿宋" w:hAnsi="仿宋" w:eastAsia="仿宋"/>
          <w:color w:val="000000"/>
          <w:sz w:val="32"/>
          <w:szCs w:val="32"/>
        </w:rPr>
        <w:t>；公务接待费支出决算0.42万元，占100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5D517231">
      <w:pPr>
        <w:spacing w:line="600" w:lineRule="exact"/>
        <w:ind w:firstLine="640"/>
        <w:rPr>
          <w:rFonts w:ascii="仿宋" w:hAnsi="仿宋" w:eastAsia="仿宋"/>
          <w:color w:val="000000"/>
          <w:sz w:val="32"/>
          <w:szCs w:val="32"/>
        </w:rPr>
      </w:pPr>
    </w:p>
    <w:p w14:paraId="763B2520">
      <w:pPr>
        <w:spacing w:line="600" w:lineRule="exact"/>
        <w:ind w:firstLine="640"/>
        <w:rPr>
          <w:rFonts w:ascii="仿宋" w:hAnsi="仿宋" w:eastAsia="仿宋"/>
          <w:color w:val="000000"/>
          <w:sz w:val="32"/>
          <w:szCs w:val="32"/>
        </w:rPr>
      </w:pPr>
    </w:p>
    <w:p w14:paraId="23C33816">
      <w:pPr>
        <w:spacing w:line="600" w:lineRule="exact"/>
        <w:ind w:firstLine="640"/>
        <w:rPr>
          <w:rFonts w:ascii="仿宋" w:hAnsi="仿宋" w:eastAsia="仿宋"/>
          <w:color w:val="000000"/>
          <w:sz w:val="32"/>
          <w:szCs w:val="32"/>
        </w:rPr>
      </w:pPr>
    </w:p>
    <w:p w14:paraId="35DBE7C6">
      <w:pPr>
        <w:spacing w:line="600" w:lineRule="exact"/>
        <w:ind w:firstLine="64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65408" behindDoc="0" locked="0" layoutInCell="1" allowOverlap="1">
            <wp:simplePos x="0" y="0"/>
            <wp:positionH relativeFrom="column">
              <wp:posOffset>642620</wp:posOffset>
            </wp:positionH>
            <wp:positionV relativeFrom="paragraph">
              <wp:posOffset>42545</wp:posOffset>
            </wp:positionV>
            <wp:extent cx="3851910" cy="3362960"/>
            <wp:effectExtent l="4445" t="4445" r="10795"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D72FFF1">
      <w:pPr>
        <w:spacing w:line="600" w:lineRule="exact"/>
        <w:ind w:firstLine="640"/>
        <w:rPr>
          <w:rFonts w:ascii="仿宋" w:hAnsi="仿宋" w:eastAsia="仿宋"/>
          <w:color w:val="000000"/>
          <w:sz w:val="32"/>
          <w:szCs w:val="32"/>
        </w:rPr>
      </w:pPr>
    </w:p>
    <w:p w14:paraId="415A8C28">
      <w:pPr>
        <w:spacing w:line="600" w:lineRule="exact"/>
        <w:ind w:firstLine="640"/>
        <w:rPr>
          <w:rFonts w:ascii="仿宋" w:hAnsi="仿宋" w:eastAsia="仿宋"/>
          <w:color w:val="000000"/>
          <w:sz w:val="32"/>
          <w:szCs w:val="32"/>
        </w:rPr>
      </w:pPr>
    </w:p>
    <w:p w14:paraId="12650E05">
      <w:pPr>
        <w:spacing w:line="600" w:lineRule="exact"/>
        <w:ind w:firstLine="640"/>
        <w:rPr>
          <w:rFonts w:ascii="仿宋" w:hAnsi="仿宋" w:eastAsia="仿宋"/>
          <w:color w:val="000000"/>
          <w:sz w:val="32"/>
          <w:szCs w:val="32"/>
        </w:rPr>
      </w:pPr>
    </w:p>
    <w:p w14:paraId="3E1839CD">
      <w:pPr>
        <w:spacing w:line="600" w:lineRule="exact"/>
        <w:ind w:firstLine="640"/>
        <w:rPr>
          <w:rFonts w:ascii="仿宋" w:hAnsi="仿宋" w:eastAsia="仿宋"/>
          <w:color w:val="000000"/>
          <w:sz w:val="32"/>
          <w:szCs w:val="32"/>
        </w:rPr>
      </w:pPr>
    </w:p>
    <w:p w14:paraId="4C85CDFF">
      <w:pPr>
        <w:spacing w:line="600" w:lineRule="exact"/>
        <w:ind w:firstLine="640"/>
        <w:rPr>
          <w:rFonts w:ascii="仿宋" w:hAnsi="仿宋" w:eastAsia="仿宋"/>
          <w:color w:val="000000"/>
          <w:sz w:val="32"/>
          <w:szCs w:val="32"/>
        </w:rPr>
      </w:pPr>
    </w:p>
    <w:p w14:paraId="7E8A5D21">
      <w:pPr>
        <w:spacing w:line="600" w:lineRule="exact"/>
        <w:ind w:firstLine="640"/>
        <w:rPr>
          <w:rFonts w:ascii="仿宋" w:hAnsi="仿宋" w:eastAsia="仿宋"/>
          <w:color w:val="000000"/>
          <w:sz w:val="32"/>
          <w:szCs w:val="32"/>
        </w:rPr>
      </w:pPr>
    </w:p>
    <w:p w14:paraId="48BD59C3">
      <w:pPr>
        <w:spacing w:line="600" w:lineRule="exact"/>
        <w:ind w:firstLine="640"/>
        <w:rPr>
          <w:rFonts w:ascii="仿宋" w:hAnsi="仿宋" w:eastAsia="仿宋"/>
          <w:color w:val="000000"/>
          <w:sz w:val="32"/>
          <w:szCs w:val="32"/>
        </w:rPr>
      </w:pPr>
    </w:p>
    <w:p w14:paraId="68F488D7">
      <w:pPr>
        <w:spacing w:line="600" w:lineRule="exact"/>
        <w:ind w:firstLine="640"/>
        <w:rPr>
          <w:rFonts w:ascii="仿宋" w:hAnsi="仿宋" w:eastAsia="仿宋"/>
          <w:color w:val="000000"/>
          <w:sz w:val="32"/>
          <w:szCs w:val="32"/>
        </w:rPr>
      </w:pPr>
    </w:p>
    <w:p w14:paraId="582DAE49">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558C20F3">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5DD58A8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4179B2F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w:t>
      </w:r>
    </w:p>
    <w:p w14:paraId="56856936">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0.42万元，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8年增加0.42万元，增长100</w:t>
      </w:r>
      <w:r>
        <w:rPr>
          <w:rFonts w:ascii="仿宋_GB2312" w:eastAsia="仿宋_GB2312"/>
          <w:color w:val="000000"/>
          <w:sz w:val="32"/>
          <w:szCs w:val="32"/>
        </w:rPr>
        <w:t>%</w:t>
      </w:r>
      <w:r>
        <w:rPr>
          <w:rFonts w:hint="eastAsia" w:ascii="仿宋_GB2312" w:eastAsia="仿宋_GB2312"/>
          <w:color w:val="000000"/>
          <w:sz w:val="32"/>
          <w:szCs w:val="32"/>
        </w:rPr>
        <w:t>。主要原因是机构改革，农业部门公务接待增多，其中：</w:t>
      </w:r>
    </w:p>
    <w:p w14:paraId="1AB90C79">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0.42</w:t>
      </w:r>
      <w:r>
        <w:rPr>
          <w:rFonts w:hint="eastAsia" w:ascii="仿宋_GB2312" w:eastAsia="仿宋_GB2312"/>
          <w:color w:val="000000"/>
          <w:sz w:val="32"/>
          <w:szCs w:val="32"/>
        </w:rPr>
        <w:t>万元，主要用于执行公务、开展业务活动开支的交通费、住宿费、用餐费等。国内公务接待10批次，30人次（不包括陪同人员），共计支出0.42万元。</w:t>
      </w:r>
    </w:p>
    <w:p w14:paraId="30929188">
      <w:pPr>
        <w:spacing w:line="600" w:lineRule="exact"/>
        <w:ind w:firstLine="640"/>
        <w:outlineLvl w:val="1"/>
        <w:rPr>
          <w:rFonts w:ascii="仿宋_GB2312" w:eastAsia="仿宋_GB2312"/>
          <w:color w:val="000000" w:themeColor="text1"/>
          <w:sz w:val="32"/>
          <w:szCs w:val="32"/>
        </w:rPr>
      </w:pPr>
      <w:bookmarkStart w:id="61" w:name="_Toc4224"/>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62" w:name="_Toc15377218"/>
      <w:bookmarkStart w:id="63" w:name="_Toc15396610"/>
      <w:r>
        <w:rPr>
          <w:rFonts w:hint="eastAsia" w:ascii="仿宋_GB2312" w:eastAsia="仿宋_GB2312"/>
          <w:color w:val="000000" w:themeColor="text1"/>
          <w:sz w:val="32"/>
          <w:szCs w:val="32"/>
        </w:rPr>
        <w:t>。</w:t>
      </w:r>
      <w:bookmarkEnd w:id="61"/>
    </w:p>
    <w:p w14:paraId="64D651C2">
      <w:pPr>
        <w:pStyle w:val="3"/>
        <w:ind w:firstLine="643" w:firstLineChars="200"/>
      </w:pPr>
      <w:bookmarkStart w:id="64" w:name="_Toc7211"/>
      <w:r>
        <w:rPr>
          <w:rFonts w:hint="eastAsia"/>
        </w:rPr>
        <w:t>八、政府性基金预算支出决算情况说明</w:t>
      </w:r>
      <w:bookmarkEnd w:id="62"/>
      <w:bookmarkEnd w:id="63"/>
      <w:bookmarkEnd w:id="64"/>
    </w:p>
    <w:p w14:paraId="00BB4552">
      <w:pPr>
        <w:spacing w:line="600" w:lineRule="exact"/>
        <w:ind w:firstLine="640"/>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9年政府性基金预算拨款支出367.8万元。</w:t>
      </w:r>
    </w:p>
    <w:p w14:paraId="3908393F">
      <w:pPr>
        <w:pStyle w:val="3"/>
        <w:ind w:firstLine="640" w:firstLineChars="200"/>
        <w:rPr>
          <w:rFonts w:ascii="黑体" w:hAnsi="黑体" w:eastAsia="黑体" w:cs="黑体"/>
          <w:b w:val="0"/>
          <w:bCs w:val="0"/>
        </w:rPr>
      </w:pPr>
      <w:bookmarkStart w:id="65" w:name="_Toc32454"/>
      <w:bookmarkStart w:id="66" w:name="_Toc15377219"/>
      <w:bookmarkStart w:id="67" w:name="_Toc15396611"/>
      <w:r>
        <w:rPr>
          <w:rFonts w:hint="eastAsia" w:ascii="黑体" w:hAnsi="黑体" w:eastAsia="黑体" w:cs="黑体"/>
          <w:b w:val="0"/>
          <w:bCs w:val="0"/>
        </w:rPr>
        <w:t>九、国有资本经营预算支出决算情况说明</w:t>
      </w:r>
      <w:bookmarkEnd w:id="65"/>
      <w:bookmarkEnd w:id="66"/>
      <w:bookmarkEnd w:id="67"/>
    </w:p>
    <w:p w14:paraId="034C6C1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04DADCE8">
      <w:pPr>
        <w:spacing w:line="580" w:lineRule="exact"/>
        <w:jc w:val="center"/>
        <w:rPr>
          <w:rFonts w:ascii="方正小标宋简体" w:hAnsi="方正小标宋简体" w:eastAsia="方正小标宋简体" w:cs="方正小标宋简体"/>
          <w:sz w:val="44"/>
          <w:szCs w:val="44"/>
        </w:rPr>
      </w:pPr>
    </w:p>
    <w:p w14:paraId="3045BFAF">
      <w:pPr>
        <w:pStyle w:val="3"/>
        <w:ind w:firstLine="640" w:firstLineChars="200"/>
        <w:rPr>
          <w:rFonts w:ascii="黑体" w:hAnsi="黑体" w:eastAsia="黑体" w:cs="黑体"/>
          <w:b w:val="0"/>
          <w:bCs w:val="0"/>
        </w:rPr>
      </w:pPr>
      <w:bookmarkStart w:id="68" w:name="_Toc15377221"/>
      <w:bookmarkStart w:id="69" w:name="_Toc15185"/>
      <w:bookmarkStart w:id="70" w:name="_Toc15396612"/>
      <w:r>
        <w:rPr>
          <w:rFonts w:hint="eastAsia" w:ascii="黑体" w:hAnsi="黑体" w:eastAsia="黑体" w:cs="黑体"/>
          <w:b w:val="0"/>
          <w:bCs w:val="0"/>
        </w:rPr>
        <w:t>十、其他重要事项的情况说明</w:t>
      </w:r>
      <w:bookmarkEnd w:id="68"/>
      <w:bookmarkEnd w:id="69"/>
      <w:bookmarkEnd w:id="70"/>
    </w:p>
    <w:p w14:paraId="7E9FBC9C">
      <w:pPr>
        <w:spacing w:line="600" w:lineRule="exact"/>
        <w:ind w:firstLine="643" w:firstLineChars="200"/>
        <w:outlineLvl w:val="2"/>
        <w:rPr>
          <w:rFonts w:ascii="仿宋" w:hAnsi="仿宋" w:eastAsia="仿宋"/>
          <w:color w:val="000000"/>
          <w:sz w:val="32"/>
          <w:szCs w:val="32"/>
        </w:rPr>
      </w:pPr>
      <w:bookmarkStart w:id="71" w:name="_Toc15377222"/>
      <w:r>
        <w:rPr>
          <w:rFonts w:hint="eastAsia" w:ascii="仿宋" w:hAnsi="仿宋" w:eastAsia="仿宋"/>
          <w:b/>
          <w:color w:val="000000"/>
          <w:sz w:val="32"/>
          <w:szCs w:val="32"/>
        </w:rPr>
        <w:t>（一）机关运行经费支出情况</w:t>
      </w:r>
      <w:bookmarkEnd w:id="71"/>
    </w:p>
    <w:p w14:paraId="66239642">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9年，四川省乐山市高新技术产业开发区公共服务局机关运行经费支出49.86万元，比</w:t>
      </w:r>
      <w:r>
        <w:rPr>
          <w:rFonts w:ascii="仿宋_GB2312" w:eastAsia="仿宋_GB2312"/>
          <w:color w:val="000000"/>
          <w:sz w:val="32"/>
          <w:szCs w:val="32"/>
        </w:rPr>
        <w:t>201</w:t>
      </w:r>
      <w:r>
        <w:rPr>
          <w:rFonts w:hint="eastAsia" w:ascii="仿宋_GB2312" w:eastAsia="仿宋_GB2312"/>
          <w:color w:val="000000"/>
          <w:sz w:val="32"/>
          <w:szCs w:val="32"/>
        </w:rPr>
        <w:t>8年增加17.78万元，增长55.43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主要原因是增加教育师资培训22万元。</w:t>
      </w:r>
    </w:p>
    <w:p w14:paraId="2024CD73">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2847CC6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3"/>
      <w:r>
        <w:rPr>
          <w:rFonts w:hint="eastAsia" w:ascii="仿宋" w:hAnsi="仿宋" w:eastAsia="仿宋"/>
          <w:b/>
          <w:color w:val="000000"/>
          <w:sz w:val="32"/>
          <w:szCs w:val="32"/>
        </w:rPr>
        <w:t>（二）政府采购支出情况</w:t>
      </w:r>
      <w:bookmarkEnd w:id="72"/>
    </w:p>
    <w:p w14:paraId="5E87BED3">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四川省乐山市高新技术产业开发区公共服务局政府采购支出总额201.45万元，其中：政府采购货物支出63.87万元、政府采购工程支出15.87万元、政府采购服务支出121.7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53EEF275">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0CD84FC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3" w:name="_Toc15377224"/>
      <w:r>
        <w:rPr>
          <w:rFonts w:hint="eastAsia" w:ascii="仿宋" w:hAnsi="仿宋" w:eastAsia="仿宋"/>
          <w:b/>
          <w:color w:val="000000"/>
          <w:sz w:val="32"/>
          <w:szCs w:val="32"/>
        </w:rPr>
        <w:t>（三）国有资产占有使用情况</w:t>
      </w:r>
      <w:bookmarkEnd w:id="73"/>
    </w:p>
    <w:p w14:paraId="7BC5EF32">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日，四川省乐山市高新技术产业开发区公共服务局共有车辆0辆，其中：主要领导干部用车0辆、机要通信用车0辆、应急保障用车0辆、其他用车0辆，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14:paraId="7CA4364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2167FEE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41个项目开展了预算事前绩效评估，对41个项目编制了绩效目标，预算执行过程中，选取5个项目开展绩效监控，年终执行完毕后，对5个项目开展了绩效目标完成情况自评。</w:t>
      </w:r>
    </w:p>
    <w:p w14:paraId="2288557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288A3E83">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本部门在2019年度部门决算中反映“师资培训经费”，“三儿资助经费”，“安谷幼儿园维修改造资金”，“公共文化服务体系建设专项资金”，“解决宗教界代表人士生活费”5个项目绩效目标实际完成情况。</w:t>
      </w:r>
    </w:p>
    <w:p w14:paraId="367131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（1）师资培训经费项目绩效目标完成情况综述。项目全年预算数22.80万元，执行数为22.80万元，完成预算的100%。通过项目实施，构筑完善网格化服务平台。</w:t>
      </w:r>
    </w:p>
    <w:p w14:paraId="3CAB010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（2）三儿资助经费项目绩效目标完成情况综述。项目全年预算数15.10万元，执行数为15.10万元，完成预算的100%。通过项目实施，完成对三儿的资助工作。</w:t>
      </w:r>
    </w:p>
    <w:p w14:paraId="14B9821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（3）安谷幼儿园维修改造资金项目绩效目标完成情况综述。项目全年预算数29.23万元，执行数为29.23万元，完成预算的100%。通过项目实施，完成安谷幼儿园维修改造工作。</w:t>
      </w:r>
    </w:p>
    <w:p w14:paraId="626919F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（4）公共文化服务体系建设专项资金项目绩效目标完成情况综述。项目全年预算数1.14万元，执行数为1.14万元，完成预算的100%。通过项目实施，完善公共文化服务体系建设。</w:t>
      </w:r>
    </w:p>
    <w:p w14:paraId="2BCC96B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（5）解决宗教界代表人士生活费项目绩效目标完成情况综述。项目全年预算数2.58万元，执行数为2.58万元，完成预算的100%。通过项目实施，解决宗教界代表人士生活费。</w:t>
      </w:r>
    </w:p>
    <w:p w14:paraId="3921A9F0">
      <w:pPr>
        <w:spacing w:line="580" w:lineRule="exact"/>
        <w:ind w:firstLine="640" w:firstLineChars="200"/>
        <w:rPr>
          <w:rFonts w:ascii="仿宋_GB2312" w:hAnsi="仿宋_GB2312" w:eastAsia="仿宋_GB2312" w:cs="仿宋_GB2312"/>
          <w:sz w:val="32"/>
          <w:szCs w:val="32"/>
        </w:rPr>
      </w:pPr>
    </w:p>
    <w:p w14:paraId="59751DE2">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E6A921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CC4F1BD">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2857D9D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40E84">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33E3F">
            <w:pPr>
              <w:widowControl/>
              <w:jc w:val="center"/>
              <w:textAlignment w:val="center"/>
              <w:rPr>
                <w:rFonts w:ascii="宋体" w:hAnsi="宋体" w:cs="宋体"/>
                <w:color w:val="000000"/>
                <w:sz w:val="24"/>
              </w:rPr>
            </w:pPr>
            <w:r>
              <w:rPr>
                <w:rFonts w:hint="eastAsia" w:ascii="宋体" w:hAnsi="宋体" w:cs="宋体"/>
                <w:color w:val="000000"/>
                <w:sz w:val="24"/>
              </w:rPr>
              <w:t>师资培训经费</w:t>
            </w:r>
          </w:p>
        </w:tc>
      </w:tr>
      <w:tr w14:paraId="3F6CB22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EB26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1C309">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乐山高新技术产业开发区公共服务局</w:t>
            </w:r>
          </w:p>
        </w:tc>
      </w:tr>
      <w:tr w14:paraId="51CCDA8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834C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844EC">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04D25">
            <w:pPr>
              <w:widowControl/>
              <w:jc w:val="center"/>
              <w:textAlignment w:val="center"/>
              <w:rPr>
                <w:rFonts w:ascii="宋体" w:hAnsi="宋体" w:cs="宋体"/>
                <w:color w:val="000000"/>
                <w:sz w:val="24"/>
              </w:rPr>
            </w:pPr>
            <w:r>
              <w:rPr>
                <w:rFonts w:hint="eastAsia" w:ascii="宋体" w:hAnsi="宋体" w:cs="宋体"/>
                <w:color w:val="000000"/>
                <w:sz w:val="24"/>
              </w:rPr>
              <w:t>22.80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142F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032D9">
            <w:pPr>
              <w:widowControl/>
              <w:jc w:val="center"/>
              <w:textAlignment w:val="center"/>
              <w:rPr>
                <w:rFonts w:ascii="宋体" w:hAnsi="宋体" w:cs="宋体"/>
                <w:color w:val="000000"/>
                <w:sz w:val="24"/>
              </w:rPr>
            </w:pPr>
            <w:r>
              <w:rPr>
                <w:rFonts w:hint="eastAsia" w:ascii="宋体" w:hAnsi="宋体" w:cs="宋体"/>
                <w:color w:val="000000"/>
                <w:sz w:val="24"/>
              </w:rPr>
              <w:t>22.80</w:t>
            </w:r>
          </w:p>
        </w:tc>
      </w:tr>
      <w:tr w14:paraId="528DAA23">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20F78">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C795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B63DB">
            <w:pPr>
              <w:widowControl/>
              <w:jc w:val="center"/>
              <w:textAlignment w:val="center"/>
              <w:rPr>
                <w:rFonts w:ascii="宋体" w:hAnsi="宋体" w:cs="宋体"/>
                <w:color w:val="000000"/>
                <w:sz w:val="24"/>
              </w:rPr>
            </w:pPr>
            <w:r>
              <w:rPr>
                <w:rFonts w:hint="eastAsia" w:ascii="宋体" w:hAnsi="宋体" w:cs="宋体"/>
                <w:color w:val="000000"/>
                <w:sz w:val="24"/>
              </w:rPr>
              <w:t>22.80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3043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013C9">
            <w:pPr>
              <w:widowControl/>
              <w:jc w:val="center"/>
              <w:textAlignment w:val="center"/>
              <w:rPr>
                <w:rFonts w:ascii="宋体" w:hAnsi="宋体" w:cs="宋体"/>
                <w:color w:val="000000"/>
                <w:sz w:val="24"/>
              </w:rPr>
            </w:pPr>
            <w:r>
              <w:rPr>
                <w:rFonts w:hint="eastAsia" w:ascii="宋体" w:hAnsi="宋体" w:cs="宋体"/>
                <w:color w:val="000000"/>
                <w:sz w:val="24"/>
              </w:rPr>
              <w:t>22.80</w:t>
            </w:r>
          </w:p>
        </w:tc>
      </w:tr>
      <w:tr w14:paraId="5137EDD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41F3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88CE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803F0">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8637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66212">
            <w:pPr>
              <w:jc w:val="center"/>
              <w:rPr>
                <w:rFonts w:ascii="宋体" w:hAnsi="宋体" w:cs="宋体"/>
                <w:color w:val="000000"/>
                <w:sz w:val="24"/>
              </w:rPr>
            </w:pPr>
            <w:r>
              <w:rPr>
                <w:rFonts w:hint="eastAsia" w:ascii="宋体" w:hAnsi="宋体" w:cs="宋体"/>
                <w:color w:val="000000"/>
                <w:sz w:val="24"/>
              </w:rPr>
              <w:t>0</w:t>
            </w:r>
          </w:p>
        </w:tc>
      </w:tr>
      <w:tr w14:paraId="76B0164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446CA">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64955">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4B9A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9301C46">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117B5">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50C64">
            <w:pPr>
              <w:widowControl/>
              <w:jc w:val="center"/>
              <w:textAlignment w:val="center"/>
              <w:rPr>
                <w:rFonts w:ascii="宋体" w:hAnsi="宋体" w:cs="宋体"/>
                <w:color w:val="000000"/>
                <w:sz w:val="24"/>
              </w:rPr>
            </w:pPr>
            <w:r>
              <w:rPr>
                <w:rFonts w:hint="eastAsia" w:ascii="宋体" w:hAnsi="宋体" w:cs="宋体"/>
                <w:color w:val="000000"/>
                <w:sz w:val="24"/>
              </w:rPr>
              <w:t>完成师资培训工作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B07C9">
            <w:pPr>
              <w:widowControl/>
              <w:jc w:val="center"/>
              <w:textAlignment w:val="center"/>
              <w:rPr>
                <w:rFonts w:ascii="宋体" w:hAnsi="宋体" w:cs="宋体"/>
                <w:color w:val="000000"/>
                <w:sz w:val="24"/>
              </w:rPr>
            </w:pPr>
            <w:r>
              <w:rPr>
                <w:rFonts w:hint="eastAsia" w:ascii="宋体" w:hAnsi="宋体" w:cs="宋体"/>
                <w:color w:val="000000"/>
                <w:sz w:val="24"/>
              </w:rPr>
              <w:t>完成师资培训工作</w:t>
            </w:r>
          </w:p>
        </w:tc>
      </w:tr>
      <w:tr w14:paraId="5511BA6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E0DAA1F">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D4111">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F3C2D">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AD46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DD3D1">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7D61E">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800D8CC">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5280D0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3EFB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962AE">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EBFD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指标1：培训次数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DFA5C">
            <w:pPr>
              <w:widowControl/>
              <w:jc w:val="left"/>
              <w:textAlignment w:val="center"/>
              <w:rPr>
                <w:rFonts w:ascii="宋体" w:hAnsi="宋体" w:cs="宋体"/>
                <w:color w:val="000000"/>
                <w:sz w:val="24"/>
              </w:rPr>
            </w:pPr>
            <w:r>
              <w:rPr>
                <w:rFonts w:hint="eastAsia" w:ascii="宋体" w:hAnsi="宋体" w:cs="宋体"/>
                <w:color w:val="000000"/>
                <w:kern w:val="0"/>
                <w:sz w:val="24"/>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D887E">
            <w:pPr>
              <w:widowControl/>
              <w:jc w:val="left"/>
              <w:textAlignment w:val="center"/>
              <w:rPr>
                <w:rFonts w:ascii="宋体" w:hAnsi="宋体" w:cs="宋体"/>
                <w:color w:val="000000"/>
                <w:sz w:val="24"/>
              </w:rPr>
            </w:pPr>
            <w:r>
              <w:rPr>
                <w:rFonts w:hint="eastAsia" w:ascii="宋体" w:hAnsi="宋体" w:cs="宋体"/>
                <w:color w:val="000000"/>
                <w:kern w:val="0"/>
                <w:sz w:val="24"/>
              </w:rPr>
              <w:t>1次</w:t>
            </w:r>
          </w:p>
        </w:tc>
      </w:tr>
      <w:tr w14:paraId="569B751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3215FD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1EE7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547E1">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6BB8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6987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AEBBF">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7C11AD9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CC468D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3359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ADBAD">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F252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FAC6E">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F4CF5">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0E55568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0CAC67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CF16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2C021">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626D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指标1：培训费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5EDCB">
            <w:pPr>
              <w:widowControl/>
              <w:jc w:val="left"/>
              <w:textAlignment w:val="center"/>
              <w:rPr>
                <w:rFonts w:ascii="宋体" w:hAnsi="宋体" w:cs="宋体"/>
                <w:color w:val="000000"/>
                <w:sz w:val="24"/>
              </w:rPr>
            </w:pPr>
            <w:r>
              <w:rPr>
                <w:rFonts w:hint="eastAsia" w:ascii="宋体" w:hAnsi="宋体" w:cs="宋体"/>
                <w:color w:val="000000"/>
                <w:kern w:val="0"/>
                <w:sz w:val="24"/>
              </w:rPr>
              <w:t>培训费228000.00元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F26BB">
            <w:pPr>
              <w:widowControl/>
              <w:jc w:val="left"/>
              <w:textAlignment w:val="center"/>
              <w:rPr>
                <w:rFonts w:ascii="宋体" w:hAnsi="宋体" w:cs="宋体"/>
                <w:color w:val="000000"/>
                <w:sz w:val="24"/>
              </w:rPr>
            </w:pPr>
            <w:r>
              <w:rPr>
                <w:rFonts w:hint="eastAsia" w:ascii="宋体" w:hAnsi="宋体" w:cs="宋体"/>
                <w:color w:val="000000"/>
                <w:kern w:val="0"/>
                <w:sz w:val="24"/>
              </w:rPr>
              <w:t>培训费228000.00元</w:t>
            </w:r>
          </w:p>
        </w:tc>
      </w:tr>
      <w:tr w14:paraId="0123843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4000CE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B7DDD">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56BD1">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27B5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指标1：是否培训合格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E5E61">
            <w:pPr>
              <w:widowControl/>
              <w:jc w:val="left"/>
              <w:textAlignment w:val="center"/>
              <w:rPr>
                <w:rFonts w:ascii="宋体" w:hAnsi="宋体" w:cs="宋体"/>
                <w:color w:val="000000"/>
                <w:sz w:val="24"/>
              </w:rPr>
            </w:pPr>
            <w:r>
              <w:rPr>
                <w:rFonts w:hint="eastAsia" w:ascii="宋体" w:hAnsi="宋体" w:cs="宋体"/>
                <w:color w:val="000000"/>
                <w:kern w:val="0"/>
                <w:sz w:val="24"/>
              </w:rPr>
              <w:t>完成对</w:t>
            </w:r>
            <w:r>
              <w:rPr>
                <w:rFonts w:hint="eastAsia" w:ascii="宋体" w:hAnsi="宋体" w:cs="宋体"/>
                <w:color w:val="000000"/>
                <w:sz w:val="24"/>
              </w:rPr>
              <w:t>师资培训工作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00E39">
            <w:pPr>
              <w:widowControl/>
              <w:jc w:val="left"/>
              <w:textAlignment w:val="center"/>
              <w:rPr>
                <w:rFonts w:ascii="宋体" w:hAnsi="宋体" w:cs="宋体"/>
                <w:color w:val="000000"/>
                <w:sz w:val="24"/>
              </w:rPr>
            </w:pPr>
            <w:r>
              <w:rPr>
                <w:rFonts w:hint="eastAsia" w:ascii="宋体" w:hAnsi="宋体" w:cs="宋体"/>
                <w:color w:val="000000"/>
                <w:kern w:val="0"/>
                <w:sz w:val="24"/>
              </w:rPr>
              <w:t>完成对</w:t>
            </w:r>
            <w:r>
              <w:rPr>
                <w:rFonts w:hint="eastAsia" w:ascii="宋体" w:hAnsi="宋体" w:cs="宋体"/>
                <w:color w:val="000000"/>
                <w:sz w:val="24"/>
              </w:rPr>
              <w:t>师资培训工作</w:t>
            </w:r>
          </w:p>
        </w:tc>
      </w:tr>
      <w:tr w14:paraId="0EF9CAE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992272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F4F2D">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7A6C5">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53E2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0F454">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16648">
            <w:pPr>
              <w:rPr>
                <w:rFonts w:ascii="宋体" w:hAnsi="宋体" w:cs="宋体"/>
                <w:color w:val="000000"/>
                <w:sz w:val="24"/>
              </w:rPr>
            </w:pPr>
          </w:p>
        </w:tc>
      </w:tr>
      <w:tr w14:paraId="371AA11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23C12E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6AED4">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F0DF7">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212B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E1111">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4B6A6">
            <w:pPr>
              <w:rPr>
                <w:rFonts w:ascii="宋体" w:hAnsi="宋体" w:cs="宋体"/>
                <w:color w:val="000000"/>
                <w:sz w:val="24"/>
              </w:rPr>
            </w:pPr>
          </w:p>
        </w:tc>
      </w:tr>
      <w:tr w14:paraId="11ACF08A">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5E1873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D44B4">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07216">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938D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DCA64">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2014C">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14:paraId="164B0B50">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B8B674B">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0D5CA54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6F762">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AA7CC">
            <w:pPr>
              <w:widowControl/>
              <w:jc w:val="center"/>
              <w:textAlignment w:val="center"/>
              <w:rPr>
                <w:rFonts w:ascii="宋体" w:hAnsi="宋体" w:cs="宋体"/>
                <w:color w:val="000000"/>
                <w:sz w:val="24"/>
              </w:rPr>
            </w:pPr>
            <w:r>
              <w:rPr>
                <w:rFonts w:hint="eastAsia" w:ascii="宋体" w:hAnsi="宋体" w:cs="宋体"/>
                <w:color w:val="000000"/>
                <w:sz w:val="24"/>
              </w:rPr>
              <w:t>三儿资助经费</w:t>
            </w:r>
          </w:p>
        </w:tc>
      </w:tr>
      <w:tr w14:paraId="7EC1664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79BAA">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35723">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乐山高新技术产业开发区公共服务局</w:t>
            </w:r>
          </w:p>
        </w:tc>
      </w:tr>
      <w:tr w14:paraId="3E8185B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32695">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84957">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6E7DD">
            <w:pPr>
              <w:widowControl/>
              <w:jc w:val="center"/>
              <w:textAlignment w:val="center"/>
              <w:rPr>
                <w:rFonts w:ascii="宋体" w:hAnsi="宋体" w:cs="宋体"/>
                <w:color w:val="000000"/>
                <w:sz w:val="24"/>
              </w:rPr>
            </w:pPr>
            <w:r>
              <w:rPr>
                <w:rFonts w:hint="eastAsia" w:ascii="宋体" w:hAnsi="宋体" w:cs="宋体"/>
                <w:color w:val="000000"/>
                <w:sz w:val="24"/>
              </w:rPr>
              <w:t>15.10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411B0">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A2DC3">
            <w:pPr>
              <w:widowControl/>
              <w:jc w:val="center"/>
              <w:textAlignment w:val="center"/>
              <w:rPr>
                <w:rFonts w:ascii="宋体" w:hAnsi="宋体" w:cs="宋体"/>
                <w:color w:val="000000"/>
                <w:sz w:val="24"/>
              </w:rPr>
            </w:pPr>
            <w:r>
              <w:rPr>
                <w:rFonts w:hint="eastAsia" w:ascii="宋体" w:hAnsi="宋体" w:cs="宋体"/>
                <w:color w:val="000000"/>
                <w:sz w:val="24"/>
              </w:rPr>
              <w:t>15.10</w:t>
            </w:r>
          </w:p>
        </w:tc>
      </w:tr>
      <w:tr w14:paraId="6B980DC1">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94ED6">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82F2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B9C11">
            <w:pPr>
              <w:widowControl/>
              <w:jc w:val="center"/>
              <w:textAlignment w:val="center"/>
              <w:rPr>
                <w:rFonts w:ascii="宋体" w:hAnsi="宋体" w:cs="宋体"/>
                <w:color w:val="000000"/>
                <w:sz w:val="24"/>
              </w:rPr>
            </w:pPr>
            <w:r>
              <w:rPr>
                <w:rFonts w:hint="eastAsia" w:ascii="宋体" w:hAnsi="宋体" w:cs="宋体"/>
                <w:color w:val="000000"/>
                <w:sz w:val="24"/>
              </w:rPr>
              <w:t>15.10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C2E2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3C504">
            <w:pPr>
              <w:widowControl/>
              <w:jc w:val="center"/>
              <w:textAlignment w:val="center"/>
              <w:rPr>
                <w:rFonts w:ascii="宋体" w:hAnsi="宋体" w:cs="宋体"/>
                <w:color w:val="000000"/>
                <w:sz w:val="24"/>
              </w:rPr>
            </w:pPr>
            <w:r>
              <w:rPr>
                <w:rFonts w:hint="eastAsia" w:ascii="宋体" w:hAnsi="宋体" w:cs="宋体"/>
                <w:color w:val="000000"/>
                <w:sz w:val="24"/>
              </w:rPr>
              <w:t>15.10</w:t>
            </w:r>
          </w:p>
        </w:tc>
      </w:tr>
      <w:tr w14:paraId="6E595813">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F5ABA">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966E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FB95B">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4554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9BAA4">
            <w:pPr>
              <w:jc w:val="center"/>
              <w:rPr>
                <w:rFonts w:ascii="宋体" w:hAnsi="宋体" w:cs="宋体"/>
                <w:color w:val="000000"/>
                <w:sz w:val="24"/>
              </w:rPr>
            </w:pPr>
            <w:r>
              <w:rPr>
                <w:rFonts w:hint="eastAsia" w:ascii="宋体" w:hAnsi="宋体" w:cs="宋体"/>
                <w:color w:val="000000"/>
                <w:sz w:val="24"/>
              </w:rPr>
              <w:t>0</w:t>
            </w:r>
          </w:p>
        </w:tc>
      </w:tr>
      <w:tr w14:paraId="4F70962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0F913">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6F854">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251C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696E35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FF43D">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C1974">
            <w:pPr>
              <w:widowControl/>
              <w:jc w:val="center"/>
              <w:textAlignment w:val="center"/>
              <w:rPr>
                <w:rFonts w:ascii="宋体" w:hAnsi="宋体" w:cs="宋体"/>
                <w:color w:val="000000"/>
                <w:sz w:val="24"/>
              </w:rPr>
            </w:pPr>
            <w:r>
              <w:rPr>
                <w:rFonts w:hint="eastAsia" w:ascii="宋体" w:hAnsi="宋体" w:cs="宋体"/>
                <w:color w:val="000000"/>
                <w:sz w:val="24"/>
              </w:rPr>
              <w:t>完成对三儿的资助工作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DD7CE">
            <w:pPr>
              <w:widowControl/>
              <w:jc w:val="center"/>
              <w:textAlignment w:val="center"/>
              <w:rPr>
                <w:rFonts w:ascii="宋体" w:hAnsi="宋体" w:cs="宋体"/>
                <w:color w:val="000000"/>
                <w:sz w:val="24"/>
              </w:rPr>
            </w:pPr>
            <w:r>
              <w:rPr>
                <w:rFonts w:hint="eastAsia" w:ascii="宋体" w:hAnsi="宋体" w:cs="宋体"/>
                <w:color w:val="000000"/>
                <w:sz w:val="24"/>
              </w:rPr>
              <w:t>完成对三儿的资助工作</w:t>
            </w:r>
          </w:p>
        </w:tc>
      </w:tr>
      <w:tr w14:paraId="02F2793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763CCD2">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E0F47">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522E0">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9CFD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D8291">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B1FBB">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3C498E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229C14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46F5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B76A2">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E8DE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0011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8C7E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42CA6CE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F9D1BC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1EF9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33DDD">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CFA9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547C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DACA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8D7BB4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C9AE3C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F79A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D0BE2">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E02B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31746">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94F97">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2C46555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2EE854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F1591">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65036">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792B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指标1：资助经费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3F22D">
            <w:pPr>
              <w:widowControl/>
              <w:jc w:val="left"/>
              <w:textAlignment w:val="center"/>
              <w:rPr>
                <w:rFonts w:ascii="宋体" w:hAnsi="宋体" w:cs="宋体"/>
                <w:color w:val="000000"/>
                <w:sz w:val="24"/>
              </w:rPr>
            </w:pPr>
            <w:r>
              <w:rPr>
                <w:rFonts w:hint="eastAsia" w:ascii="宋体" w:hAnsi="宋体" w:cs="宋体"/>
                <w:color w:val="000000"/>
                <w:kern w:val="0"/>
                <w:sz w:val="24"/>
              </w:rPr>
              <w:t>培训费151000.00元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2A257">
            <w:pPr>
              <w:widowControl/>
              <w:jc w:val="left"/>
              <w:textAlignment w:val="center"/>
              <w:rPr>
                <w:rFonts w:ascii="宋体" w:hAnsi="宋体" w:cs="宋体"/>
                <w:color w:val="000000"/>
                <w:sz w:val="24"/>
              </w:rPr>
            </w:pPr>
            <w:r>
              <w:rPr>
                <w:rFonts w:hint="eastAsia" w:ascii="宋体" w:hAnsi="宋体" w:cs="宋体"/>
                <w:color w:val="000000"/>
                <w:kern w:val="0"/>
                <w:sz w:val="24"/>
              </w:rPr>
              <w:t>培训费151000.00元</w:t>
            </w:r>
          </w:p>
        </w:tc>
      </w:tr>
      <w:tr w14:paraId="471939E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412E42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FC9FD">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984B7">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A9D1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指标1：是否经费到位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9EE9E">
            <w:pPr>
              <w:widowControl/>
              <w:jc w:val="left"/>
              <w:textAlignment w:val="center"/>
              <w:rPr>
                <w:rFonts w:ascii="宋体" w:hAnsi="宋体" w:cs="宋体"/>
                <w:color w:val="000000"/>
                <w:sz w:val="24"/>
              </w:rPr>
            </w:pPr>
            <w:r>
              <w:rPr>
                <w:rFonts w:hint="eastAsia" w:ascii="宋体" w:hAnsi="宋体" w:cs="宋体"/>
                <w:color w:val="000000"/>
                <w:kern w:val="0"/>
                <w:sz w:val="24"/>
              </w:rPr>
              <w:t>完成</w:t>
            </w:r>
            <w:r>
              <w:rPr>
                <w:rFonts w:hint="eastAsia" w:ascii="宋体" w:hAnsi="宋体" w:cs="宋体"/>
                <w:color w:val="000000"/>
                <w:sz w:val="24"/>
              </w:rPr>
              <w:t>对三儿的资助工作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B761F">
            <w:pPr>
              <w:widowControl/>
              <w:jc w:val="left"/>
              <w:textAlignment w:val="center"/>
              <w:rPr>
                <w:rFonts w:ascii="宋体" w:hAnsi="宋体" w:cs="宋体"/>
                <w:color w:val="000000"/>
                <w:sz w:val="24"/>
              </w:rPr>
            </w:pPr>
            <w:r>
              <w:rPr>
                <w:rFonts w:hint="eastAsia" w:ascii="宋体" w:hAnsi="宋体" w:cs="宋体"/>
                <w:color w:val="000000"/>
                <w:kern w:val="0"/>
                <w:sz w:val="24"/>
              </w:rPr>
              <w:t>完成</w:t>
            </w:r>
            <w:r>
              <w:rPr>
                <w:rFonts w:hint="eastAsia" w:ascii="宋体" w:hAnsi="宋体" w:cs="宋体"/>
                <w:color w:val="000000"/>
                <w:sz w:val="24"/>
              </w:rPr>
              <w:t>对三儿的资助工作</w:t>
            </w:r>
          </w:p>
        </w:tc>
      </w:tr>
      <w:tr w14:paraId="45076A6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AFF1E4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27D35">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4C991">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6A94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61078">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A8DBA">
            <w:pPr>
              <w:rPr>
                <w:rFonts w:ascii="宋体" w:hAnsi="宋体" w:cs="宋体"/>
                <w:color w:val="000000"/>
                <w:sz w:val="24"/>
              </w:rPr>
            </w:pPr>
          </w:p>
        </w:tc>
      </w:tr>
      <w:tr w14:paraId="0249344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2CAC7A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F8B89">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CB91D">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522C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D264E">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70E52">
            <w:pPr>
              <w:rPr>
                <w:rFonts w:ascii="宋体" w:hAnsi="宋体" w:cs="宋体"/>
                <w:color w:val="000000"/>
                <w:sz w:val="24"/>
              </w:rPr>
            </w:pPr>
          </w:p>
        </w:tc>
      </w:tr>
      <w:tr w14:paraId="389B19B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7B17E0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B619B">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EEFDA">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4C7F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0E3E8">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7A384">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496F9A0E">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79E49AC">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177DDBB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9D620">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DE6E8">
            <w:pPr>
              <w:widowControl/>
              <w:jc w:val="center"/>
              <w:textAlignment w:val="center"/>
              <w:rPr>
                <w:rFonts w:ascii="宋体" w:hAnsi="宋体" w:cs="宋体"/>
                <w:color w:val="000000"/>
                <w:sz w:val="24"/>
              </w:rPr>
            </w:pPr>
            <w:r>
              <w:rPr>
                <w:rFonts w:hint="eastAsia" w:ascii="宋体" w:hAnsi="宋体" w:cs="宋体"/>
                <w:color w:val="000000"/>
                <w:sz w:val="24"/>
              </w:rPr>
              <w:t>安谷幼儿园维修改造资金</w:t>
            </w:r>
          </w:p>
        </w:tc>
      </w:tr>
      <w:tr w14:paraId="2529344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13728">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44E24">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乐山高新技术产业开发区公共服务局</w:t>
            </w:r>
          </w:p>
        </w:tc>
      </w:tr>
      <w:tr w14:paraId="011CA7B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CCAD0">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D054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C5514">
            <w:pPr>
              <w:widowControl/>
              <w:jc w:val="center"/>
              <w:textAlignment w:val="center"/>
              <w:rPr>
                <w:rFonts w:ascii="宋体" w:hAnsi="宋体" w:cs="宋体"/>
                <w:color w:val="000000"/>
                <w:sz w:val="24"/>
              </w:rPr>
            </w:pPr>
            <w:r>
              <w:rPr>
                <w:rFonts w:hint="eastAsia" w:ascii="宋体" w:hAnsi="宋体" w:cs="宋体"/>
                <w:color w:val="000000"/>
                <w:sz w:val="24"/>
              </w:rPr>
              <w:t>29.23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FA577">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B4F83">
            <w:pPr>
              <w:widowControl/>
              <w:jc w:val="center"/>
              <w:textAlignment w:val="center"/>
              <w:rPr>
                <w:rFonts w:ascii="宋体" w:hAnsi="宋体" w:cs="宋体"/>
                <w:color w:val="000000"/>
                <w:sz w:val="24"/>
              </w:rPr>
            </w:pPr>
            <w:r>
              <w:rPr>
                <w:rFonts w:hint="eastAsia" w:ascii="宋体" w:hAnsi="宋体" w:cs="宋体"/>
                <w:color w:val="000000"/>
                <w:sz w:val="24"/>
              </w:rPr>
              <w:t>29.23</w:t>
            </w:r>
          </w:p>
        </w:tc>
      </w:tr>
      <w:tr w14:paraId="70926D3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268C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6365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4C0DF">
            <w:pPr>
              <w:widowControl/>
              <w:jc w:val="center"/>
              <w:textAlignment w:val="center"/>
              <w:rPr>
                <w:rFonts w:ascii="宋体" w:hAnsi="宋体" w:cs="宋体"/>
                <w:color w:val="000000"/>
                <w:sz w:val="24"/>
              </w:rPr>
            </w:pPr>
            <w:r>
              <w:rPr>
                <w:rFonts w:hint="eastAsia" w:ascii="宋体" w:hAnsi="宋体" w:cs="宋体"/>
                <w:color w:val="000000"/>
                <w:sz w:val="24"/>
              </w:rPr>
              <w:t>29.23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D741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2298D">
            <w:pPr>
              <w:widowControl/>
              <w:jc w:val="center"/>
              <w:textAlignment w:val="center"/>
              <w:rPr>
                <w:rFonts w:ascii="宋体" w:hAnsi="宋体" w:cs="宋体"/>
                <w:color w:val="000000"/>
                <w:sz w:val="24"/>
              </w:rPr>
            </w:pPr>
            <w:r>
              <w:rPr>
                <w:rFonts w:hint="eastAsia" w:ascii="宋体" w:hAnsi="宋体" w:cs="宋体"/>
                <w:color w:val="000000"/>
                <w:sz w:val="24"/>
              </w:rPr>
              <w:t>29.23</w:t>
            </w:r>
          </w:p>
        </w:tc>
      </w:tr>
      <w:tr w14:paraId="36470CBA">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51C2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15B9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3D6ED">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EB17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1415D">
            <w:pPr>
              <w:jc w:val="center"/>
              <w:rPr>
                <w:rFonts w:ascii="宋体" w:hAnsi="宋体" w:cs="宋体"/>
                <w:color w:val="000000"/>
                <w:sz w:val="24"/>
              </w:rPr>
            </w:pPr>
            <w:r>
              <w:rPr>
                <w:rFonts w:hint="eastAsia" w:ascii="宋体" w:hAnsi="宋体" w:cs="宋体"/>
                <w:color w:val="000000"/>
                <w:sz w:val="24"/>
              </w:rPr>
              <w:t>0</w:t>
            </w:r>
          </w:p>
        </w:tc>
      </w:tr>
      <w:tr w14:paraId="1271D45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434F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9BE70">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22FC7">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743C3C8">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2CFB1">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5D2A6">
            <w:pPr>
              <w:widowControl/>
              <w:jc w:val="center"/>
              <w:textAlignment w:val="center"/>
              <w:rPr>
                <w:rFonts w:ascii="宋体" w:hAnsi="宋体" w:cs="宋体"/>
                <w:color w:val="000000"/>
                <w:sz w:val="24"/>
              </w:rPr>
            </w:pPr>
            <w:r>
              <w:rPr>
                <w:rFonts w:hint="eastAsia" w:ascii="宋体" w:hAnsi="宋体" w:cs="宋体"/>
                <w:color w:val="000000"/>
                <w:sz w:val="24"/>
              </w:rPr>
              <w:t>完成安谷幼儿园维修改造工作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540CB">
            <w:pPr>
              <w:widowControl/>
              <w:jc w:val="center"/>
              <w:textAlignment w:val="center"/>
              <w:rPr>
                <w:rFonts w:ascii="宋体" w:hAnsi="宋体" w:cs="宋体"/>
                <w:color w:val="000000"/>
                <w:sz w:val="24"/>
              </w:rPr>
            </w:pPr>
            <w:r>
              <w:rPr>
                <w:rFonts w:hint="eastAsia" w:ascii="宋体" w:hAnsi="宋体" w:cs="宋体"/>
                <w:color w:val="000000"/>
                <w:sz w:val="24"/>
              </w:rPr>
              <w:t>完成安谷幼儿园维修改造工作</w:t>
            </w:r>
          </w:p>
        </w:tc>
      </w:tr>
      <w:tr w14:paraId="3FD0C08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BD13C07">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50646">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E65E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E418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DC902">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47CE1">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6958650">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BD4F74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0429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E1BED">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BC11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07331">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1AA08">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72850B6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FC8B9B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CC88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0A438">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F0E8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FBA8A">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2842F">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33182C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770469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839F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A63D3">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3D9B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94823">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A21F1">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4B62729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20F6B2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3D3D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E7AA6">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7999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指标1：维修改造费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E1A60">
            <w:pPr>
              <w:widowControl/>
              <w:jc w:val="left"/>
              <w:textAlignment w:val="center"/>
              <w:rPr>
                <w:rFonts w:ascii="宋体" w:hAnsi="宋体" w:cs="宋体"/>
                <w:color w:val="000000"/>
                <w:sz w:val="24"/>
              </w:rPr>
            </w:pPr>
            <w:r>
              <w:rPr>
                <w:rFonts w:hint="eastAsia" w:ascii="宋体" w:hAnsi="宋体" w:cs="宋体"/>
                <w:color w:val="000000"/>
                <w:sz w:val="24"/>
              </w:rPr>
              <w:t>完成安谷幼儿园维修改造292300.00元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C5810">
            <w:pPr>
              <w:widowControl/>
              <w:jc w:val="left"/>
              <w:textAlignment w:val="center"/>
              <w:rPr>
                <w:rFonts w:ascii="宋体" w:hAnsi="宋体" w:cs="宋体"/>
                <w:color w:val="000000"/>
                <w:sz w:val="24"/>
              </w:rPr>
            </w:pPr>
            <w:r>
              <w:rPr>
                <w:rFonts w:hint="eastAsia" w:ascii="宋体" w:hAnsi="宋体" w:cs="宋体"/>
                <w:color w:val="000000"/>
                <w:sz w:val="24"/>
              </w:rPr>
              <w:t>完成安谷幼儿园维修改造292300.00元</w:t>
            </w:r>
          </w:p>
        </w:tc>
      </w:tr>
      <w:tr w14:paraId="4C3E38F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794286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3619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3996F">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C38A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指标1：维修改造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2B445">
            <w:pPr>
              <w:widowControl/>
              <w:jc w:val="left"/>
              <w:textAlignment w:val="center"/>
              <w:rPr>
                <w:rFonts w:ascii="宋体" w:hAnsi="宋体" w:cs="宋体"/>
                <w:color w:val="000000"/>
                <w:sz w:val="24"/>
              </w:rPr>
            </w:pPr>
            <w:r>
              <w:rPr>
                <w:rFonts w:hint="eastAsia" w:ascii="宋体" w:hAnsi="宋体" w:cs="宋体"/>
                <w:color w:val="000000"/>
                <w:sz w:val="24"/>
              </w:rPr>
              <w:t>完成对安谷幼儿园的维修改造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7604A">
            <w:pPr>
              <w:widowControl/>
              <w:jc w:val="left"/>
              <w:textAlignment w:val="center"/>
              <w:rPr>
                <w:rFonts w:ascii="宋体" w:hAnsi="宋体" w:cs="宋体"/>
                <w:color w:val="000000"/>
                <w:sz w:val="24"/>
              </w:rPr>
            </w:pPr>
            <w:r>
              <w:rPr>
                <w:rFonts w:hint="eastAsia" w:ascii="宋体" w:hAnsi="宋体" w:cs="宋体"/>
                <w:color w:val="000000"/>
                <w:sz w:val="24"/>
              </w:rPr>
              <w:t>完成对安谷幼儿园的维修改造</w:t>
            </w:r>
          </w:p>
        </w:tc>
      </w:tr>
      <w:tr w14:paraId="1EACD64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CD4112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9FC7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83A3D">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2A5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E0D02">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A914E">
            <w:pPr>
              <w:rPr>
                <w:rFonts w:ascii="宋体" w:hAnsi="宋体" w:cs="宋体"/>
                <w:color w:val="000000"/>
                <w:sz w:val="24"/>
              </w:rPr>
            </w:pPr>
          </w:p>
        </w:tc>
      </w:tr>
      <w:tr w14:paraId="31FDAD8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900E63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92CC9">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61257">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3FE0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2CFE3">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2C5A7">
            <w:pPr>
              <w:rPr>
                <w:rFonts w:ascii="宋体" w:hAnsi="宋体" w:cs="宋体"/>
                <w:color w:val="000000"/>
                <w:sz w:val="24"/>
              </w:rPr>
            </w:pPr>
          </w:p>
        </w:tc>
      </w:tr>
      <w:tr w14:paraId="0053490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CA91E0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25EE4">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7A39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F5A6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0A34F">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7F193">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7C74C0C2">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5F9113E3">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22A18BD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CD3BC">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F5B2B">
            <w:pPr>
              <w:widowControl/>
              <w:jc w:val="center"/>
              <w:textAlignment w:val="center"/>
              <w:rPr>
                <w:rFonts w:ascii="宋体" w:hAnsi="宋体" w:cs="宋体"/>
                <w:color w:val="000000"/>
                <w:sz w:val="24"/>
              </w:rPr>
            </w:pPr>
            <w:r>
              <w:rPr>
                <w:rFonts w:hint="eastAsia" w:ascii="宋体" w:hAnsi="宋体" w:cs="宋体"/>
                <w:color w:val="000000"/>
                <w:sz w:val="24"/>
              </w:rPr>
              <w:t>公共文化服务体系建设专项资金</w:t>
            </w:r>
          </w:p>
        </w:tc>
      </w:tr>
      <w:tr w14:paraId="6F32806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4704D">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149DA">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乐山高新技术产业开发区公共服务局</w:t>
            </w:r>
          </w:p>
        </w:tc>
      </w:tr>
      <w:tr w14:paraId="6081B7C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AFD6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0DA8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7A89D">
            <w:pPr>
              <w:widowControl/>
              <w:jc w:val="center"/>
              <w:textAlignment w:val="center"/>
              <w:rPr>
                <w:rFonts w:ascii="宋体" w:hAnsi="宋体" w:cs="宋体"/>
                <w:color w:val="000000"/>
                <w:sz w:val="24"/>
              </w:rPr>
            </w:pPr>
            <w:r>
              <w:rPr>
                <w:rFonts w:hint="eastAsia" w:ascii="宋体" w:hAnsi="宋体" w:cs="宋体"/>
                <w:color w:val="000000"/>
                <w:sz w:val="24"/>
              </w:rPr>
              <w:t>1.14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EB4F1">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6787A">
            <w:pPr>
              <w:widowControl/>
              <w:jc w:val="center"/>
              <w:textAlignment w:val="center"/>
              <w:rPr>
                <w:rFonts w:ascii="宋体" w:hAnsi="宋体" w:cs="宋体"/>
                <w:color w:val="000000"/>
                <w:sz w:val="24"/>
              </w:rPr>
            </w:pPr>
            <w:r>
              <w:rPr>
                <w:rFonts w:hint="eastAsia" w:ascii="宋体" w:hAnsi="宋体" w:cs="宋体"/>
                <w:color w:val="000000"/>
                <w:sz w:val="24"/>
              </w:rPr>
              <w:t>1.14</w:t>
            </w:r>
          </w:p>
        </w:tc>
      </w:tr>
      <w:tr w14:paraId="4A9C48BC">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1294E">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C8C5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E6E17">
            <w:pPr>
              <w:widowControl/>
              <w:jc w:val="center"/>
              <w:textAlignment w:val="center"/>
              <w:rPr>
                <w:rFonts w:ascii="宋体" w:hAnsi="宋体" w:cs="宋体"/>
                <w:color w:val="000000"/>
                <w:sz w:val="24"/>
              </w:rPr>
            </w:pPr>
            <w:r>
              <w:rPr>
                <w:rFonts w:hint="eastAsia" w:ascii="宋体" w:hAnsi="宋体" w:cs="宋体"/>
                <w:color w:val="000000"/>
                <w:sz w:val="24"/>
              </w:rPr>
              <w:t>1.14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02D8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C1E59">
            <w:pPr>
              <w:widowControl/>
              <w:jc w:val="center"/>
              <w:textAlignment w:val="center"/>
              <w:rPr>
                <w:rFonts w:ascii="宋体" w:hAnsi="宋体" w:cs="宋体"/>
                <w:color w:val="000000"/>
                <w:sz w:val="24"/>
              </w:rPr>
            </w:pPr>
            <w:r>
              <w:rPr>
                <w:rFonts w:hint="eastAsia" w:ascii="宋体" w:hAnsi="宋体" w:cs="宋体"/>
                <w:color w:val="000000"/>
                <w:sz w:val="24"/>
              </w:rPr>
              <w:t>1.14</w:t>
            </w:r>
          </w:p>
        </w:tc>
      </w:tr>
      <w:tr w14:paraId="01616D5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8B39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CD31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7A472">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DBFA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DC829">
            <w:pPr>
              <w:jc w:val="center"/>
              <w:rPr>
                <w:rFonts w:ascii="宋体" w:hAnsi="宋体" w:cs="宋体"/>
                <w:color w:val="000000"/>
                <w:sz w:val="24"/>
              </w:rPr>
            </w:pPr>
            <w:r>
              <w:rPr>
                <w:rFonts w:hint="eastAsia" w:ascii="宋体" w:hAnsi="宋体" w:cs="宋体"/>
                <w:color w:val="000000"/>
                <w:sz w:val="24"/>
              </w:rPr>
              <w:t>0</w:t>
            </w:r>
          </w:p>
        </w:tc>
      </w:tr>
      <w:tr w14:paraId="098C5BA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99B2F">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A976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5CCF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45888DD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7F9B4">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97489">
            <w:pPr>
              <w:widowControl/>
              <w:jc w:val="center"/>
              <w:textAlignment w:val="center"/>
              <w:rPr>
                <w:rFonts w:ascii="宋体" w:hAnsi="宋体" w:cs="宋体"/>
                <w:color w:val="000000"/>
                <w:sz w:val="24"/>
              </w:rPr>
            </w:pPr>
            <w:r>
              <w:rPr>
                <w:rFonts w:hint="eastAsia" w:ascii="宋体" w:hAnsi="宋体" w:cs="宋体"/>
                <w:color w:val="000000"/>
                <w:sz w:val="24"/>
              </w:rPr>
              <w:t>完善公共文化服务体系建设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A5269">
            <w:pPr>
              <w:widowControl/>
              <w:jc w:val="center"/>
              <w:textAlignment w:val="center"/>
              <w:rPr>
                <w:rFonts w:ascii="宋体" w:hAnsi="宋体" w:cs="宋体"/>
                <w:color w:val="000000"/>
                <w:sz w:val="24"/>
              </w:rPr>
            </w:pPr>
            <w:r>
              <w:rPr>
                <w:rFonts w:hint="eastAsia" w:ascii="宋体" w:hAnsi="宋体" w:cs="宋体"/>
                <w:color w:val="000000"/>
                <w:sz w:val="24"/>
              </w:rPr>
              <w:t>完善公共文化服务体系建设</w:t>
            </w:r>
          </w:p>
        </w:tc>
      </w:tr>
      <w:tr w14:paraId="7D760A8C">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1E37DB2">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01016">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FA7C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3CA59">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AF7DB">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B77DB">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2BBC72B">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33D421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BD35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06D1D">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4FFC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04CA9">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B124A">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5E3DEDE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3139D6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4A8D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D3BBB">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18AE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2FA3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4B21F">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6DBEC13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80623A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9176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0D7DC">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678D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3F16D">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AE74C">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0DFEA81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DD26A3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8369F">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43609">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835F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03067">
            <w:pPr>
              <w:widowControl/>
              <w:jc w:val="left"/>
              <w:textAlignment w:val="center"/>
              <w:rPr>
                <w:rFonts w:ascii="宋体" w:hAnsi="宋体" w:cs="宋体"/>
                <w:color w:val="000000"/>
                <w:sz w:val="24"/>
              </w:rPr>
            </w:pPr>
            <w:r>
              <w:rPr>
                <w:rFonts w:hint="eastAsia" w:ascii="宋体" w:hAnsi="宋体" w:cs="宋体"/>
                <w:color w:val="000000"/>
                <w:sz w:val="24"/>
              </w:rPr>
              <w:t>公共文化服务体系建设费用11400元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BE217">
            <w:pPr>
              <w:widowControl/>
              <w:jc w:val="left"/>
              <w:textAlignment w:val="center"/>
              <w:rPr>
                <w:rFonts w:ascii="宋体" w:hAnsi="宋体" w:cs="宋体"/>
                <w:color w:val="000000"/>
                <w:sz w:val="24"/>
              </w:rPr>
            </w:pPr>
            <w:r>
              <w:rPr>
                <w:rFonts w:hint="eastAsia" w:ascii="宋体" w:hAnsi="宋体" w:cs="宋体"/>
                <w:color w:val="000000"/>
                <w:sz w:val="24"/>
              </w:rPr>
              <w:t>公共文化服务体系建设费用11400元</w:t>
            </w:r>
          </w:p>
        </w:tc>
      </w:tr>
      <w:tr w14:paraId="34577D5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E1DF51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14C7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E8AA5">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211F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指标1：体系建设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76653">
            <w:pPr>
              <w:widowControl/>
              <w:jc w:val="left"/>
              <w:textAlignment w:val="center"/>
              <w:rPr>
                <w:rFonts w:ascii="宋体" w:hAnsi="宋体" w:cs="宋体"/>
                <w:color w:val="000000"/>
                <w:sz w:val="24"/>
              </w:rPr>
            </w:pPr>
            <w:r>
              <w:rPr>
                <w:rFonts w:hint="eastAsia" w:ascii="宋体" w:hAnsi="宋体" w:cs="宋体"/>
                <w:color w:val="000000"/>
                <w:sz w:val="24"/>
              </w:rPr>
              <w:t>完善公共文化服务体系建设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D1DFA">
            <w:pPr>
              <w:widowControl/>
              <w:jc w:val="left"/>
              <w:textAlignment w:val="center"/>
              <w:rPr>
                <w:rFonts w:ascii="宋体" w:hAnsi="宋体" w:cs="宋体"/>
                <w:color w:val="000000"/>
                <w:sz w:val="24"/>
              </w:rPr>
            </w:pPr>
            <w:r>
              <w:rPr>
                <w:rFonts w:hint="eastAsia" w:ascii="宋体" w:hAnsi="宋体" w:cs="宋体"/>
                <w:color w:val="000000"/>
                <w:sz w:val="24"/>
              </w:rPr>
              <w:t>完善公共文化服务体系建设</w:t>
            </w:r>
          </w:p>
        </w:tc>
      </w:tr>
      <w:tr w14:paraId="0C37963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368203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2F1D7">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44FAB">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2071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4609B">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06D3F">
            <w:pPr>
              <w:rPr>
                <w:rFonts w:ascii="宋体" w:hAnsi="宋体" w:cs="宋体"/>
                <w:color w:val="000000"/>
                <w:sz w:val="24"/>
              </w:rPr>
            </w:pPr>
          </w:p>
        </w:tc>
      </w:tr>
      <w:tr w14:paraId="562C0C5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C4B1F1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97473">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22D2F">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19AF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D17B9">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A5028">
            <w:pPr>
              <w:rPr>
                <w:rFonts w:ascii="宋体" w:hAnsi="宋体" w:cs="宋体"/>
                <w:color w:val="000000"/>
                <w:sz w:val="24"/>
              </w:rPr>
            </w:pPr>
          </w:p>
        </w:tc>
      </w:tr>
      <w:tr w14:paraId="5707C54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455A96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363B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5916E">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5DDC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EB1C2">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94543">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14:paraId="26488322">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ECD006C">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58E22D1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968E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47E11">
            <w:pPr>
              <w:widowControl/>
              <w:jc w:val="center"/>
              <w:textAlignment w:val="center"/>
              <w:rPr>
                <w:rFonts w:ascii="宋体" w:hAnsi="宋体" w:cs="宋体"/>
                <w:color w:val="000000"/>
                <w:sz w:val="24"/>
              </w:rPr>
            </w:pPr>
            <w:r>
              <w:rPr>
                <w:rFonts w:hint="eastAsia" w:ascii="宋体" w:hAnsi="宋体" w:cs="宋体"/>
                <w:color w:val="000000"/>
                <w:sz w:val="24"/>
              </w:rPr>
              <w:t>解决宗教界代表人士生活费</w:t>
            </w:r>
          </w:p>
        </w:tc>
      </w:tr>
      <w:tr w14:paraId="6E88380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DCE14">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A3763">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乐山高新技术产业开发区公共服务局</w:t>
            </w:r>
          </w:p>
        </w:tc>
      </w:tr>
      <w:tr w14:paraId="4C96FFF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32E00">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797B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45B4B">
            <w:pPr>
              <w:widowControl/>
              <w:jc w:val="center"/>
              <w:textAlignment w:val="center"/>
              <w:rPr>
                <w:rFonts w:ascii="宋体" w:hAnsi="宋体" w:cs="宋体"/>
                <w:color w:val="000000"/>
                <w:sz w:val="24"/>
              </w:rPr>
            </w:pPr>
            <w:r>
              <w:rPr>
                <w:rFonts w:hint="eastAsia" w:ascii="宋体" w:hAnsi="宋体" w:cs="宋体"/>
                <w:color w:val="000000"/>
                <w:sz w:val="24"/>
              </w:rPr>
              <w:t>2.58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86D17">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315B0">
            <w:pPr>
              <w:widowControl/>
              <w:jc w:val="center"/>
              <w:textAlignment w:val="center"/>
              <w:rPr>
                <w:rFonts w:ascii="宋体" w:hAnsi="宋体" w:cs="宋体"/>
                <w:color w:val="000000"/>
                <w:sz w:val="24"/>
              </w:rPr>
            </w:pPr>
            <w:r>
              <w:rPr>
                <w:rFonts w:hint="eastAsia" w:ascii="宋体" w:hAnsi="宋体" w:cs="宋体"/>
                <w:color w:val="000000"/>
                <w:sz w:val="24"/>
              </w:rPr>
              <w:t>2.58</w:t>
            </w:r>
          </w:p>
        </w:tc>
      </w:tr>
      <w:tr w14:paraId="76B88AA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77D3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0800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12D50">
            <w:pPr>
              <w:widowControl/>
              <w:jc w:val="center"/>
              <w:textAlignment w:val="center"/>
              <w:rPr>
                <w:rFonts w:ascii="宋体" w:hAnsi="宋体" w:cs="宋体"/>
                <w:color w:val="000000"/>
                <w:sz w:val="24"/>
              </w:rPr>
            </w:pPr>
            <w:r>
              <w:rPr>
                <w:rFonts w:hint="eastAsia" w:ascii="宋体" w:hAnsi="宋体" w:cs="宋体"/>
                <w:color w:val="000000"/>
                <w:sz w:val="24"/>
              </w:rPr>
              <w:t>2.58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3DA1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05F06">
            <w:pPr>
              <w:widowControl/>
              <w:jc w:val="center"/>
              <w:textAlignment w:val="center"/>
              <w:rPr>
                <w:rFonts w:ascii="宋体" w:hAnsi="宋体" w:cs="宋体"/>
                <w:color w:val="000000"/>
                <w:sz w:val="24"/>
              </w:rPr>
            </w:pPr>
            <w:r>
              <w:rPr>
                <w:rFonts w:hint="eastAsia" w:ascii="宋体" w:hAnsi="宋体" w:cs="宋体"/>
                <w:color w:val="000000"/>
                <w:sz w:val="24"/>
              </w:rPr>
              <w:t>2.58</w:t>
            </w:r>
          </w:p>
        </w:tc>
      </w:tr>
      <w:tr w14:paraId="18D27CF8">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1789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6FBD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7ED63">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38FD8">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5D9AA">
            <w:pPr>
              <w:jc w:val="center"/>
              <w:rPr>
                <w:rFonts w:ascii="宋体" w:hAnsi="宋体" w:cs="宋体"/>
                <w:color w:val="000000"/>
                <w:sz w:val="24"/>
              </w:rPr>
            </w:pPr>
            <w:r>
              <w:rPr>
                <w:rFonts w:hint="eastAsia" w:ascii="宋体" w:hAnsi="宋体" w:cs="宋体"/>
                <w:color w:val="000000"/>
                <w:sz w:val="24"/>
              </w:rPr>
              <w:t>0</w:t>
            </w:r>
          </w:p>
        </w:tc>
      </w:tr>
      <w:tr w14:paraId="5FD372D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F15F5">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8C2C6">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0414A">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9F217B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C6175">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565F8">
            <w:pPr>
              <w:widowControl/>
              <w:jc w:val="center"/>
              <w:textAlignment w:val="center"/>
              <w:rPr>
                <w:rFonts w:ascii="宋体" w:hAnsi="宋体" w:cs="宋体"/>
                <w:color w:val="000000"/>
                <w:sz w:val="24"/>
              </w:rPr>
            </w:pPr>
            <w:r>
              <w:rPr>
                <w:rFonts w:hint="eastAsia" w:ascii="宋体" w:hAnsi="宋体" w:cs="宋体"/>
                <w:color w:val="000000"/>
                <w:sz w:val="24"/>
              </w:rPr>
              <w:t>解决宗教界代表人士生活费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FC9F3">
            <w:pPr>
              <w:widowControl/>
              <w:jc w:val="center"/>
              <w:textAlignment w:val="center"/>
              <w:rPr>
                <w:rFonts w:ascii="宋体" w:hAnsi="宋体" w:cs="宋体"/>
                <w:color w:val="000000"/>
                <w:sz w:val="24"/>
              </w:rPr>
            </w:pPr>
            <w:r>
              <w:rPr>
                <w:rFonts w:hint="eastAsia" w:ascii="宋体" w:hAnsi="宋体" w:cs="宋体"/>
                <w:color w:val="000000"/>
                <w:sz w:val="24"/>
              </w:rPr>
              <w:t>解决宗教界代表人士生活费</w:t>
            </w:r>
          </w:p>
        </w:tc>
      </w:tr>
      <w:tr w14:paraId="76B4F14B">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BD1CA50">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95A2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9612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AD62E">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D1B4D">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E5D9B">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5402F8C">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F06031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A192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7E6A8">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1C10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41A71">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70539">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4E1F615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ABDD44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6C0F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D71F5">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B080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52ECF">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6E319">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2B4EC0A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AD34EC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5793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F8D2A">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5950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88924">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6BF06">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076DBD9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46C9B7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18DC9">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5F49A">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B71F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解决宗教界代表人士生活费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0CB26">
            <w:pPr>
              <w:widowControl/>
              <w:jc w:val="left"/>
              <w:textAlignment w:val="center"/>
              <w:rPr>
                <w:rFonts w:ascii="宋体" w:hAnsi="宋体" w:cs="宋体"/>
                <w:color w:val="000000"/>
                <w:sz w:val="24"/>
              </w:rPr>
            </w:pPr>
            <w:r>
              <w:rPr>
                <w:rFonts w:hint="eastAsia" w:ascii="宋体" w:hAnsi="宋体" w:cs="宋体"/>
                <w:color w:val="000000"/>
                <w:sz w:val="24"/>
              </w:rPr>
              <w:t>宗教界代表人士生活费</w:t>
            </w:r>
            <w:r>
              <w:rPr>
                <w:rFonts w:hint="eastAsia" w:ascii="宋体" w:hAnsi="宋体" w:cs="宋体"/>
                <w:color w:val="000000"/>
                <w:kern w:val="0"/>
                <w:sz w:val="24"/>
              </w:rPr>
              <w:t>25800.00元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18550">
            <w:pPr>
              <w:widowControl/>
              <w:jc w:val="left"/>
              <w:textAlignment w:val="center"/>
              <w:rPr>
                <w:rFonts w:ascii="宋体" w:hAnsi="宋体" w:cs="宋体"/>
                <w:color w:val="000000"/>
                <w:sz w:val="24"/>
              </w:rPr>
            </w:pPr>
            <w:r>
              <w:rPr>
                <w:rFonts w:hint="eastAsia" w:ascii="宋体" w:hAnsi="宋体" w:cs="宋体"/>
                <w:color w:val="000000"/>
                <w:sz w:val="24"/>
              </w:rPr>
              <w:t>宗教界代表人士生活费</w:t>
            </w:r>
            <w:r>
              <w:rPr>
                <w:rFonts w:hint="eastAsia" w:ascii="宋体" w:hAnsi="宋体" w:cs="宋体"/>
                <w:color w:val="000000"/>
                <w:kern w:val="0"/>
                <w:sz w:val="24"/>
              </w:rPr>
              <w:t>25800.00元</w:t>
            </w:r>
          </w:p>
        </w:tc>
      </w:tr>
      <w:tr w14:paraId="24B0AE5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5623CD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44DBB">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2A0C9">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28D4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解决宗教界代表人士生活费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D4E67">
            <w:pPr>
              <w:widowControl/>
              <w:jc w:val="left"/>
              <w:textAlignment w:val="center"/>
              <w:rPr>
                <w:rFonts w:ascii="宋体" w:hAnsi="宋体" w:cs="宋体"/>
                <w:color w:val="000000"/>
                <w:sz w:val="24"/>
              </w:rPr>
            </w:pPr>
            <w:r>
              <w:rPr>
                <w:rFonts w:hint="eastAsia" w:ascii="宋体" w:hAnsi="宋体" w:cs="宋体"/>
                <w:color w:val="000000"/>
                <w:sz w:val="24"/>
              </w:rPr>
              <w:t>解决宗教界代表人士生活费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45644">
            <w:pPr>
              <w:widowControl/>
              <w:jc w:val="left"/>
              <w:textAlignment w:val="center"/>
              <w:rPr>
                <w:rFonts w:ascii="宋体" w:hAnsi="宋体" w:cs="宋体"/>
                <w:color w:val="000000"/>
                <w:sz w:val="24"/>
              </w:rPr>
            </w:pPr>
            <w:r>
              <w:rPr>
                <w:rFonts w:hint="eastAsia" w:ascii="宋体" w:hAnsi="宋体" w:cs="宋体"/>
                <w:color w:val="000000"/>
                <w:sz w:val="24"/>
              </w:rPr>
              <w:t>解决宗教界代表人士生活费</w:t>
            </w:r>
          </w:p>
        </w:tc>
      </w:tr>
      <w:tr w14:paraId="561EB9B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EFF981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225C5">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EFC26">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AE95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E2088">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B1FE0">
            <w:pPr>
              <w:rPr>
                <w:rFonts w:ascii="宋体" w:hAnsi="宋体" w:cs="宋体"/>
                <w:color w:val="000000"/>
                <w:sz w:val="24"/>
              </w:rPr>
            </w:pPr>
          </w:p>
        </w:tc>
      </w:tr>
      <w:tr w14:paraId="175554A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EB9068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31FCE">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19D4B">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8930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999DF">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EC087">
            <w:pPr>
              <w:rPr>
                <w:rFonts w:ascii="宋体" w:hAnsi="宋体" w:cs="宋体"/>
                <w:color w:val="000000"/>
                <w:sz w:val="24"/>
              </w:rPr>
            </w:pPr>
          </w:p>
        </w:tc>
      </w:tr>
      <w:tr w14:paraId="77AE3363">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A8C076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54E0B">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24AB6">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9B1A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F918D">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19906">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bl>
    <w:p w14:paraId="049389D1">
      <w:pPr>
        <w:spacing w:line="580" w:lineRule="exact"/>
        <w:rPr>
          <w:rFonts w:ascii="仿宋_GB2312" w:hAnsi="仿宋_GB2312" w:eastAsia="仿宋_GB2312" w:cs="仿宋_GB2312"/>
          <w:sz w:val="32"/>
          <w:szCs w:val="32"/>
        </w:rPr>
      </w:pPr>
    </w:p>
    <w:p w14:paraId="58FF28AA">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0A8F6B09">
      <w:pPr>
        <w:spacing w:line="580" w:lineRule="exact"/>
        <w:ind w:left="630"/>
        <w:rPr>
          <w:rFonts w:ascii="仿宋_GB2312" w:hAnsi="仿宋_GB2312" w:eastAsia="仿宋_GB2312" w:cs="仿宋_GB2312"/>
          <w:sz w:val="32"/>
          <w:szCs w:val="32"/>
        </w:rPr>
      </w:pPr>
      <w:bookmarkStart w:id="74" w:name="_Toc15377225"/>
      <w:bookmarkStart w:id="75" w:name="_Toc15396613"/>
      <w:r>
        <w:rPr>
          <w:rFonts w:hint="eastAsia" w:ascii="楷体_GB2312" w:hAnsi="楷体_GB2312" w:eastAsia="楷体_GB2312" w:cs="楷体_GB2312"/>
          <w:sz w:val="32"/>
          <w:szCs w:val="32"/>
        </w:rPr>
        <w:t>2.部门绩效评价结果。</w:t>
      </w:r>
    </w:p>
    <w:p w14:paraId="028579A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本部门按要求对2019年部门整体支出绩效评价情况开展自评，《乐山高新技术产业开发区公共服务局2019年部门整体支出绩效评价报告》见附件（附件1）。</w:t>
      </w:r>
    </w:p>
    <w:p w14:paraId="4F580093">
      <w:pPr>
        <w:pStyle w:val="2"/>
      </w:pPr>
    </w:p>
    <w:p w14:paraId="6C87D004"/>
    <w:p w14:paraId="280D373D"/>
    <w:p w14:paraId="7535FDAD"/>
    <w:p w14:paraId="77719983"/>
    <w:p w14:paraId="43DB6277"/>
    <w:p w14:paraId="43CEAC4D"/>
    <w:p w14:paraId="0116C6CF"/>
    <w:p w14:paraId="086C680A"/>
    <w:p w14:paraId="155EAE71"/>
    <w:p w14:paraId="3AE66E9E"/>
    <w:p w14:paraId="779CB5E6"/>
    <w:p w14:paraId="5D6A95E5"/>
    <w:p w14:paraId="3F418BCC"/>
    <w:p w14:paraId="5887BE78"/>
    <w:p w14:paraId="7FBDA43C"/>
    <w:p w14:paraId="34007D8E"/>
    <w:p w14:paraId="724159F8"/>
    <w:p w14:paraId="709CFFC7"/>
    <w:p w14:paraId="05B631A5"/>
    <w:p w14:paraId="19D6F228"/>
    <w:p w14:paraId="2EE9D0A6"/>
    <w:p w14:paraId="4EED0F29"/>
    <w:p w14:paraId="3C2A858B"/>
    <w:p w14:paraId="4AD6222D"/>
    <w:p w14:paraId="42FF30A5"/>
    <w:p w14:paraId="2A9CD19D"/>
    <w:p w14:paraId="6261ADA9"/>
    <w:p w14:paraId="236873B4">
      <w:pPr>
        <w:pStyle w:val="2"/>
        <w:jc w:val="center"/>
        <w:rPr>
          <w:rFonts w:ascii="黑体" w:hAnsi="黑体" w:eastAsia="黑体" w:cs="黑体"/>
          <w:b w:val="0"/>
          <w:bCs w:val="0"/>
        </w:rPr>
      </w:pPr>
      <w:bookmarkStart w:id="76" w:name="_Toc14600"/>
      <w:r>
        <w:rPr>
          <w:rFonts w:hint="eastAsia" w:ascii="黑体" w:hAnsi="黑体" w:eastAsia="黑体" w:cs="黑体"/>
          <w:b w:val="0"/>
          <w:bCs w:val="0"/>
        </w:rPr>
        <w:t>第三部分 名词解释</w:t>
      </w:r>
      <w:bookmarkEnd w:id="74"/>
      <w:bookmarkEnd w:id="75"/>
      <w:bookmarkEnd w:id="76"/>
    </w:p>
    <w:p w14:paraId="2B62C393">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1B05B0A4">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57B97578">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2CAAB368">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23470A28">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1A5D2117">
      <w:pPr>
        <w:spacing w:line="60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一般公共服务（类）政府办公厅（室）及相关机构事务（款）行政运行（项）:指市政府法制办用于保障机构正常运行、开展日常工作的基本支出。</w:t>
      </w:r>
    </w:p>
    <w:p w14:paraId="2B0F1ACA">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反映事业单位的基本支出，不包括行政单位的（包括施行公务员管理的事业单位）、后勤服务中心、医务室等附属事业单位。</w:t>
      </w:r>
    </w:p>
    <w:p w14:paraId="7424257D">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国防支出（类）国防动员（款）人民防空（项）：指反映人民防空项目支出。</w:t>
      </w:r>
    </w:p>
    <w:p w14:paraId="6B81050F">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节能环保（类）污染防治（款）水体（项）：指反映水体污染防治项目支出。</w:t>
      </w:r>
    </w:p>
    <w:p w14:paraId="6416827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14:paraId="28221BC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14:paraId="45892FB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12.城乡社区（类）城乡社区环境卫生（款）城乡社区环境卫生（项）：指反映城乡社区环境卫生项目支出。</w:t>
      </w:r>
    </w:p>
    <w:p w14:paraId="044FCFE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13.农林水支出（类）农业（款）防灾救灾（项）：指反映农业防灾救灾项目支出。</w:t>
      </w:r>
    </w:p>
    <w:p w14:paraId="5F124A3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14.农林水支出（类）水利（款）水利工程运行与维护(项):指反映水利工程运行和维护项目支出。</w:t>
      </w:r>
    </w:p>
    <w:p w14:paraId="423E6BD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15.农林水支出（类）水利（款）防汛（项）：指反映水利防汛项目支出。</w:t>
      </w:r>
    </w:p>
    <w:p w14:paraId="072B8CC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16.农林水支出（类）水利（款）江河湖库水系综合整治（项）：指反映江河湖库水系综合整治项目支出。</w:t>
      </w:r>
    </w:p>
    <w:p w14:paraId="52BC26B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17.交通运输支出（类）公路水路运输（款）公路和运输安全（项）：指反映公路水路运输安全项目支出。</w:t>
      </w:r>
    </w:p>
    <w:p w14:paraId="7BFF793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18.交通运输支出（类）其他交通运输支出（款）其他交通运输支出（项）：指反映行政单位的（包括施行公务员管理的事业单位）未单独设置项级科目的其他交通运输项目支出。</w:t>
      </w:r>
    </w:p>
    <w:p w14:paraId="3652E36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19.资源勘探信息等支出（类）支持中小企业发展和管理支出（款）其他支持中小企业发展和管理支出（项）：指反映行政单位的（包括施行公务员管理的事业单位）未单独设置项级科目的其他支持中小企业发展和管理的项目支出。</w:t>
      </w:r>
    </w:p>
    <w:p w14:paraId="6DDC54D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20.住房保障（类）保障性安居工程支出（款）保障性安居工程支出（项）：指反映保障性安居工程项目支出。</w:t>
      </w:r>
    </w:p>
    <w:p w14:paraId="7421E01F">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1D2C000">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0D3CDE51">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35B27EA5">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4C10CE">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A0D67E">
      <w:pPr>
        <w:pStyle w:val="22"/>
        <w:spacing w:line="560" w:lineRule="exact"/>
        <w:ind w:firstLine="640" w:firstLineChars="200"/>
        <w:rPr>
          <w:rFonts w:ascii="仿宋_GB2312" w:eastAsia="仿宋_GB2312" w:cs="黑体"/>
          <w:sz w:val="32"/>
          <w:szCs w:val="32"/>
        </w:rPr>
      </w:pPr>
    </w:p>
    <w:p w14:paraId="325838EF">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08BF57DA">
      <w:pPr>
        <w:spacing w:line="600" w:lineRule="exact"/>
        <w:jc w:val="center"/>
        <w:outlineLvl w:val="0"/>
        <w:rPr>
          <w:rStyle w:val="24"/>
          <w:rFonts w:ascii="黑体" w:hAnsi="黑体" w:eastAsia="黑体"/>
          <w:b w:val="0"/>
        </w:rPr>
      </w:pPr>
      <w:bookmarkStart w:id="77" w:name="_Toc15377226"/>
      <w:r>
        <w:rPr>
          <w:rFonts w:ascii="宋体"/>
          <w:b/>
          <w:color w:val="000000"/>
          <w:sz w:val="44"/>
          <w:szCs w:val="44"/>
        </w:rPr>
        <w:br w:type="page"/>
      </w:r>
      <w:bookmarkStart w:id="78" w:name="_Toc17549"/>
      <w:bookmarkStart w:id="79" w:name="_Toc15396614"/>
      <w:r>
        <w:rPr>
          <w:rFonts w:hint="eastAsia" w:ascii="黑体" w:hAnsi="黑体" w:eastAsia="黑体" w:cs="黑体"/>
          <w:kern w:val="44"/>
          <w:sz w:val="44"/>
          <w:szCs w:val="44"/>
        </w:rPr>
        <w:t>第四部分 附件</w:t>
      </w:r>
      <w:bookmarkEnd w:id="78"/>
    </w:p>
    <w:p w14:paraId="435F4EFF">
      <w:pPr>
        <w:pStyle w:val="2"/>
        <w:rPr>
          <w:rFonts w:ascii="方正小标宋简体" w:hAnsi="方正小标宋简体" w:eastAsia="方正小标宋简体" w:cs="方正小标宋简体"/>
        </w:rPr>
      </w:pPr>
      <w:bookmarkStart w:id="80" w:name="_Toc30708"/>
      <w:r>
        <w:rPr>
          <w:rFonts w:hint="eastAsia" w:ascii="黑体" w:hAnsi="黑体" w:eastAsia="黑体" w:cs="黑体"/>
          <w:b w:val="0"/>
          <w:bCs w:val="0"/>
          <w:sz w:val="32"/>
          <w:szCs w:val="32"/>
        </w:rPr>
        <w:t>附件1</w:t>
      </w:r>
      <w:bookmarkEnd w:id="80"/>
    </w:p>
    <w:p w14:paraId="339F0B0B">
      <w:pPr>
        <w:spacing w:line="600" w:lineRule="exact"/>
        <w:jc w:val="center"/>
        <w:rPr>
          <w:rFonts w:ascii="仿宋_GB2312" w:hAnsi="宋体" w:eastAsia="仿宋_GB2312"/>
          <w:sz w:val="32"/>
          <w:szCs w:val="32"/>
          <w:shd w:val="clear" w:color="auto" w:fill="FFFFFF"/>
        </w:rPr>
      </w:pPr>
      <w:r>
        <w:rPr>
          <w:rFonts w:hint="eastAsia" w:ascii="方正小标宋简体" w:hAnsi="宋体" w:eastAsia="方正小标宋简体"/>
          <w:color w:val="000000"/>
          <w:kern w:val="0"/>
          <w:sz w:val="40"/>
          <w:szCs w:val="44"/>
        </w:rPr>
        <w:t>乐山高新技术产业开发区公共服务局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0B54A7F6">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7D6C1FF3">
      <w:pPr>
        <w:topLinePunct/>
        <w:spacing w:line="600" w:lineRule="exact"/>
        <w:outlineLvl w:val="0"/>
        <w:rPr>
          <w:rFonts w:ascii="黑体" w:hAnsi="Calibri" w:eastAsia="黑体"/>
          <w:sz w:val="32"/>
          <w:szCs w:val="32"/>
          <w:shd w:val="clear" w:color="auto" w:fill="FFFFFF"/>
          <w:lang w:val="zh-CN"/>
        </w:rPr>
      </w:pPr>
      <w:bookmarkStart w:id="81" w:name="_Toc28682"/>
      <w:r>
        <w:rPr>
          <w:rFonts w:hint="eastAsia" w:ascii="黑体" w:hAnsi="Calibri" w:eastAsia="黑体"/>
          <w:sz w:val="32"/>
          <w:szCs w:val="32"/>
          <w:shd w:val="clear" w:color="auto" w:fill="FFFFFF"/>
          <w:lang w:val="zh-CN"/>
        </w:rPr>
        <w:t>一、单位概况</w:t>
      </w:r>
      <w:bookmarkEnd w:id="81"/>
    </w:p>
    <w:p w14:paraId="66AAC46C">
      <w:pPr>
        <w:numPr>
          <w:ilvl w:val="0"/>
          <w:numId w:val="1"/>
        </w:numPr>
        <w:spacing w:line="600" w:lineRule="exact"/>
        <w:outlineLvl w:val="1"/>
        <w:rPr>
          <w:rFonts w:ascii="仿宋_GB2312" w:hAnsi="Calibri" w:eastAsia="仿宋_GB2312"/>
          <w:sz w:val="30"/>
          <w:szCs w:val="30"/>
        </w:rPr>
      </w:pPr>
      <w:bookmarkStart w:id="82" w:name="_Toc21592"/>
      <w:r>
        <w:rPr>
          <w:rFonts w:hint="eastAsia" w:ascii="楷体_GB2312" w:hAnsi="Calibri" w:eastAsia="楷体_GB2312"/>
          <w:sz w:val="32"/>
          <w:szCs w:val="21"/>
          <w:shd w:val="clear" w:color="auto" w:fill="FFFFFF"/>
          <w:lang w:val="zh-CN"/>
        </w:rPr>
        <w:t>机构组成。</w:t>
      </w:r>
      <w:r>
        <w:rPr>
          <w:rFonts w:hint="eastAsia" w:ascii="仿宋" w:hAnsi="仿宋" w:eastAsia="仿宋"/>
          <w:sz w:val="32"/>
          <w:szCs w:val="32"/>
        </w:rPr>
        <w:t>乐山高新技术产业开发区公共服务局</w:t>
      </w:r>
      <w:r>
        <w:rPr>
          <w:rFonts w:hint="eastAsia" w:ascii="仿宋_GB2312" w:hAnsi="Calibri" w:eastAsia="仿宋_GB2312"/>
          <w:sz w:val="30"/>
          <w:szCs w:val="30"/>
        </w:rPr>
        <w:t>属于高新区一级预算单位，参照公务员法管理办法进行管理，无下属二级预算单位。</w:t>
      </w:r>
      <w:bookmarkEnd w:id="82"/>
    </w:p>
    <w:p w14:paraId="172F2231">
      <w:pPr>
        <w:numPr>
          <w:ilvl w:val="0"/>
          <w:numId w:val="1"/>
        </w:numPr>
        <w:spacing w:line="600" w:lineRule="exact"/>
        <w:outlineLvl w:val="1"/>
        <w:rPr>
          <w:rFonts w:ascii="仿宋" w:hAnsi="仿宋" w:eastAsia="仿宋"/>
          <w:sz w:val="32"/>
          <w:szCs w:val="32"/>
          <w:lang w:val="zh-CN"/>
        </w:rPr>
      </w:pPr>
      <w:bookmarkStart w:id="83" w:name="_Toc30571"/>
      <w:r>
        <w:rPr>
          <w:rFonts w:hint="eastAsia" w:ascii="楷体_GB2312" w:hAnsi="Calibri" w:eastAsia="楷体_GB2312"/>
          <w:sz w:val="32"/>
          <w:szCs w:val="21"/>
          <w:shd w:val="clear" w:color="auto" w:fill="FFFFFF"/>
          <w:lang w:val="zh-CN"/>
        </w:rPr>
        <w:t>机构职能。</w:t>
      </w:r>
      <w:bookmarkEnd w:id="83"/>
    </w:p>
    <w:p w14:paraId="4ACC0EAB">
      <w:pPr>
        <w:spacing w:line="600" w:lineRule="exact"/>
        <w:ind w:left="-619" w:leftChars="-295" w:firstLine="900" w:firstLineChars="300"/>
        <w:outlineLvl w:val="1"/>
        <w:rPr>
          <w:rFonts w:ascii="仿宋_GB2312" w:hAnsi="Calibri" w:eastAsia="仿宋_GB2312"/>
          <w:sz w:val="30"/>
          <w:szCs w:val="30"/>
          <w:lang w:val="zh-CN"/>
        </w:rPr>
      </w:pPr>
      <w:bookmarkStart w:id="84" w:name="_Toc15665"/>
      <w:r>
        <w:rPr>
          <w:rFonts w:hint="eastAsia" w:ascii="仿宋_GB2312" w:hAnsi="Calibri" w:eastAsia="仿宋_GB2312"/>
          <w:sz w:val="30"/>
          <w:szCs w:val="30"/>
        </w:rPr>
        <w:t>负责拟定全区公共服务事业发展总体规划并组织实施；负责教育、卫生健康、医疗保障、医疗救助、文化新旅、体育、广播电视电影、新闻出版、民族宗教、农业农村、扶贫开发、供销合作、老龄委等相关工作。承担党工委、管委会交办的其他工作任务。</w:t>
      </w:r>
      <w:bookmarkEnd w:id="84"/>
    </w:p>
    <w:p w14:paraId="06164E50">
      <w:pPr>
        <w:numPr>
          <w:ilvl w:val="0"/>
          <w:numId w:val="1"/>
        </w:numPr>
        <w:spacing w:line="600" w:lineRule="exact"/>
        <w:outlineLvl w:val="1"/>
        <w:rPr>
          <w:rFonts w:ascii="楷体_GB2312" w:hAnsi="Calibri" w:eastAsia="楷体_GB2312"/>
          <w:sz w:val="32"/>
          <w:szCs w:val="21"/>
          <w:shd w:val="clear" w:color="auto" w:fill="FFFFFF"/>
          <w:lang w:val="zh-CN"/>
        </w:rPr>
      </w:pPr>
      <w:bookmarkStart w:id="85" w:name="_Toc16912"/>
      <w:r>
        <w:rPr>
          <w:rFonts w:hint="eastAsia" w:ascii="楷体_GB2312" w:hAnsi="Calibri" w:eastAsia="楷体_GB2312"/>
          <w:sz w:val="32"/>
          <w:szCs w:val="21"/>
          <w:shd w:val="clear" w:color="auto" w:fill="FFFFFF"/>
          <w:lang w:val="zh-CN"/>
        </w:rPr>
        <w:t>人员概况。</w:t>
      </w:r>
      <w:r>
        <w:rPr>
          <w:rFonts w:hint="eastAsia" w:ascii="Calibri" w:hAnsi="Calibri" w:eastAsia="仿宋_GB2312"/>
          <w:sz w:val="30"/>
          <w:szCs w:val="30"/>
          <w:lang w:val="zh-CN"/>
        </w:rPr>
        <w:t>2019年编制人数为</w:t>
      </w:r>
      <w:r>
        <w:rPr>
          <w:rFonts w:hint="eastAsia" w:ascii="Calibri" w:hAnsi="Calibri" w:eastAsia="仿宋_GB2312"/>
          <w:sz w:val="30"/>
          <w:szCs w:val="30"/>
        </w:rPr>
        <w:t>4</w:t>
      </w:r>
      <w:r>
        <w:rPr>
          <w:rFonts w:hint="eastAsia" w:ascii="Calibri" w:hAnsi="Calibri" w:eastAsia="仿宋_GB2312"/>
          <w:sz w:val="30"/>
          <w:szCs w:val="30"/>
          <w:lang w:val="zh-CN"/>
        </w:rPr>
        <w:t>人，其中行政编制为0人，</w:t>
      </w:r>
      <w:r>
        <w:rPr>
          <w:rFonts w:hint="eastAsia" w:ascii="Calibri" w:hAnsi="Calibri" w:eastAsia="仿宋_GB2312"/>
          <w:sz w:val="30"/>
          <w:szCs w:val="30"/>
        </w:rPr>
        <w:t>参公</w:t>
      </w:r>
      <w:r>
        <w:rPr>
          <w:rFonts w:hint="eastAsia" w:ascii="Calibri" w:hAnsi="Calibri" w:eastAsia="仿宋_GB2312"/>
          <w:sz w:val="30"/>
          <w:szCs w:val="30"/>
          <w:lang w:val="zh-CN"/>
        </w:rPr>
        <w:t>编制为</w:t>
      </w:r>
      <w:r>
        <w:rPr>
          <w:rFonts w:hint="eastAsia" w:ascii="Calibri" w:hAnsi="Calibri" w:eastAsia="仿宋_GB2312"/>
          <w:sz w:val="30"/>
          <w:szCs w:val="30"/>
        </w:rPr>
        <w:t>4</w:t>
      </w:r>
      <w:r>
        <w:rPr>
          <w:rFonts w:hint="eastAsia" w:ascii="Calibri" w:hAnsi="Calibri" w:eastAsia="仿宋_GB2312"/>
          <w:sz w:val="30"/>
          <w:szCs w:val="30"/>
          <w:lang w:val="zh-CN"/>
        </w:rPr>
        <w:t>人。年末实有人数共有</w:t>
      </w:r>
      <w:r>
        <w:rPr>
          <w:rFonts w:hint="eastAsia" w:ascii="Calibri" w:hAnsi="Calibri" w:eastAsia="仿宋_GB2312"/>
          <w:sz w:val="30"/>
          <w:szCs w:val="30"/>
        </w:rPr>
        <w:t>4</w:t>
      </w:r>
      <w:r>
        <w:rPr>
          <w:rFonts w:hint="eastAsia" w:ascii="Calibri" w:hAnsi="Calibri" w:eastAsia="仿宋_GB2312"/>
          <w:sz w:val="30"/>
          <w:szCs w:val="30"/>
          <w:lang w:val="zh-CN"/>
        </w:rPr>
        <w:t>人，实有行政人员为0人，实有</w:t>
      </w:r>
      <w:r>
        <w:rPr>
          <w:rFonts w:hint="eastAsia" w:ascii="Calibri" w:hAnsi="Calibri" w:eastAsia="仿宋_GB2312"/>
          <w:sz w:val="30"/>
          <w:szCs w:val="30"/>
        </w:rPr>
        <w:t>参公</w:t>
      </w:r>
      <w:r>
        <w:rPr>
          <w:rFonts w:hint="eastAsia" w:ascii="Calibri" w:hAnsi="Calibri" w:eastAsia="仿宋_GB2312"/>
          <w:sz w:val="30"/>
          <w:szCs w:val="30"/>
          <w:lang w:val="zh-CN"/>
        </w:rPr>
        <w:t>人员为</w:t>
      </w:r>
      <w:r>
        <w:rPr>
          <w:rFonts w:hint="eastAsia" w:ascii="Calibri" w:hAnsi="Calibri" w:eastAsia="仿宋_GB2312"/>
          <w:sz w:val="30"/>
          <w:szCs w:val="30"/>
        </w:rPr>
        <w:t>4</w:t>
      </w:r>
      <w:r>
        <w:rPr>
          <w:rFonts w:hint="eastAsia" w:ascii="Calibri" w:hAnsi="Calibri" w:eastAsia="仿宋_GB2312"/>
          <w:sz w:val="30"/>
          <w:szCs w:val="30"/>
          <w:lang w:val="zh-CN"/>
        </w:rPr>
        <w:t>人，实有聘用人员</w:t>
      </w:r>
      <w:r>
        <w:rPr>
          <w:rFonts w:hint="eastAsia" w:ascii="Calibri" w:hAnsi="Calibri" w:eastAsia="仿宋_GB2312"/>
          <w:sz w:val="30"/>
          <w:szCs w:val="30"/>
        </w:rPr>
        <w:t>0</w:t>
      </w:r>
      <w:r>
        <w:rPr>
          <w:rFonts w:hint="eastAsia" w:ascii="Calibri" w:hAnsi="Calibri" w:eastAsia="仿宋_GB2312"/>
          <w:sz w:val="30"/>
          <w:szCs w:val="30"/>
          <w:lang w:val="zh-CN"/>
        </w:rPr>
        <w:t>人，</w:t>
      </w:r>
      <w:r>
        <w:rPr>
          <w:rFonts w:hint="eastAsia" w:ascii="Calibri" w:hAnsi="Calibri" w:eastAsia="仿宋_GB2312"/>
          <w:sz w:val="30"/>
          <w:szCs w:val="30"/>
        </w:rPr>
        <w:t>其他</w:t>
      </w:r>
      <w:r>
        <w:rPr>
          <w:rFonts w:hint="eastAsia" w:ascii="Calibri" w:hAnsi="Calibri" w:eastAsia="仿宋_GB2312"/>
          <w:sz w:val="30"/>
          <w:szCs w:val="30"/>
          <w:lang w:val="zh-CN"/>
        </w:rPr>
        <w:t>人员</w:t>
      </w:r>
      <w:r>
        <w:rPr>
          <w:rFonts w:hint="eastAsia" w:ascii="Calibri" w:hAnsi="Calibri" w:eastAsia="仿宋_GB2312"/>
          <w:sz w:val="30"/>
          <w:szCs w:val="30"/>
        </w:rPr>
        <w:t>0</w:t>
      </w:r>
      <w:r>
        <w:rPr>
          <w:rFonts w:hint="eastAsia" w:ascii="Calibri" w:hAnsi="Calibri" w:eastAsia="仿宋_GB2312"/>
          <w:sz w:val="30"/>
          <w:szCs w:val="30"/>
          <w:lang w:val="zh-CN"/>
        </w:rPr>
        <w:t>人。</w:t>
      </w:r>
      <w:bookmarkEnd w:id="85"/>
    </w:p>
    <w:p w14:paraId="54064FE6">
      <w:pPr>
        <w:topLinePunct/>
        <w:spacing w:line="600" w:lineRule="exact"/>
        <w:outlineLvl w:val="0"/>
        <w:rPr>
          <w:rFonts w:ascii="黑体" w:hAnsi="Calibri" w:eastAsia="黑体"/>
          <w:sz w:val="32"/>
          <w:szCs w:val="32"/>
          <w:shd w:val="clear" w:color="auto" w:fill="FFFFFF"/>
          <w:lang w:val="zh-CN"/>
        </w:rPr>
      </w:pPr>
      <w:bookmarkStart w:id="86" w:name="_Toc18252"/>
      <w:r>
        <w:rPr>
          <w:rFonts w:hint="eastAsia" w:ascii="黑体" w:hAnsi="Calibri" w:eastAsia="黑体"/>
          <w:sz w:val="32"/>
          <w:szCs w:val="32"/>
          <w:shd w:val="clear" w:color="auto" w:fill="FFFFFF"/>
          <w:lang w:val="zh-CN"/>
        </w:rPr>
        <w:t>二、部门财政资金收支情况</w:t>
      </w:r>
      <w:bookmarkEnd w:id="86"/>
    </w:p>
    <w:p w14:paraId="7B8C5135">
      <w:pPr>
        <w:numPr>
          <w:ilvl w:val="0"/>
          <w:numId w:val="3"/>
        </w:numPr>
        <w:spacing w:line="600" w:lineRule="exact"/>
        <w:outlineLvl w:val="1"/>
        <w:rPr>
          <w:rFonts w:ascii="楷体_GB2312" w:hAnsi="Calibri" w:eastAsia="楷体_GB2312"/>
          <w:sz w:val="32"/>
          <w:szCs w:val="21"/>
          <w:shd w:val="clear" w:color="auto" w:fill="FFFFFF"/>
          <w:lang w:val="zh-CN"/>
        </w:rPr>
      </w:pPr>
      <w:bookmarkStart w:id="87" w:name="_Toc30913"/>
      <w:r>
        <w:rPr>
          <w:rFonts w:hint="eastAsia" w:ascii="楷体_GB2312" w:hAnsi="Calibri" w:eastAsia="楷体_GB2312"/>
          <w:sz w:val="32"/>
          <w:szCs w:val="21"/>
          <w:shd w:val="clear" w:color="auto" w:fill="FFFFFF"/>
          <w:lang w:val="zh-CN"/>
        </w:rPr>
        <w:t>部门财政资金收入情况。</w:t>
      </w:r>
      <w:r>
        <w:rPr>
          <w:rFonts w:hint="eastAsia" w:ascii="仿宋_GB2312" w:hAnsi="Calibri" w:eastAsia="仿宋_GB2312"/>
          <w:sz w:val="30"/>
          <w:szCs w:val="30"/>
          <w:lang w:val="zh-CN"/>
        </w:rPr>
        <w:t>本单位2019年财政总收入</w:t>
      </w:r>
      <w:r>
        <w:rPr>
          <w:rFonts w:hint="eastAsia" w:ascii="仿宋_GB2312" w:hAnsi="Calibri" w:eastAsia="仿宋_GB2312"/>
          <w:sz w:val="30"/>
          <w:szCs w:val="30"/>
        </w:rPr>
        <w:t>2721.63万</w:t>
      </w:r>
      <w:r>
        <w:rPr>
          <w:rFonts w:hint="eastAsia" w:ascii="仿宋_GB2312" w:hAnsi="Calibri" w:eastAsia="仿宋_GB2312"/>
          <w:sz w:val="30"/>
          <w:szCs w:val="30"/>
          <w:lang w:val="zh-CN"/>
        </w:rPr>
        <w:t>元，其中财政拨款收入</w:t>
      </w:r>
      <w:r>
        <w:rPr>
          <w:rFonts w:hint="eastAsia" w:ascii="仿宋_GB2312" w:hAnsi="Calibri" w:eastAsia="仿宋_GB2312"/>
          <w:sz w:val="30"/>
          <w:szCs w:val="30"/>
        </w:rPr>
        <w:t>2427.61万</w:t>
      </w:r>
      <w:r>
        <w:rPr>
          <w:rFonts w:hint="eastAsia" w:ascii="仿宋_GB2312" w:hAnsi="Calibri" w:eastAsia="仿宋_GB2312"/>
          <w:sz w:val="30"/>
          <w:szCs w:val="30"/>
          <w:lang w:val="zh-CN"/>
        </w:rPr>
        <w:t>元，</w:t>
      </w:r>
      <w:r>
        <w:rPr>
          <w:rFonts w:hint="eastAsia" w:ascii="仿宋_GB2312" w:hAnsi="Calibri" w:eastAsia="仿宋_GB2312"/>
          <w:sz w:val="30"/>
          <w:szCs w:val="30"/>
        </w:rPr>
        <w:t>占比89.20%，其他收入294.02万元，占比10.80%。</w:t>
      </w:r>
      <w:bookmarkEnd w:id="87"/>
    </w:p>
    <w:p w14:paraId="791B2A2A">
      <w:pPr>
        <w:numPr>
          <w:ilvl w:val="0"/>
          <w:numId w:val="1"/>
        </w:numPr>
        <w:spacing w:line="600" w:lineRule="exact"/>
        <w:outlineLvl w:val="1"/>
        <w:rPr>
          <w:rFonts w:ascii="楷体_GB2312" w:hAnsi="Calibri" w:eastAsia="楷体_GB2312"/>
          <w:sz w:val="32"/>
          <w:szCs w:val="21"/>
          <w:shd w:val="clear" w:color="auto" w:fill="FFFFFF"/>
          <w:lang w:val="zh-CN"/>
        </w:rPr>
      </w:pPr>
      <w:bookmarkStart w:id="88" w:name="_Toc27350"/>
      <w:r>
        <w:rPr>
          <w:rFonts w:hint="eastAsia" w:ascii="楷体_GB2312" w:hAnsi="Calibri" w:eastAsia="楷体_GB2312"/>
          <w:sz w:val="32"/>
          <w:szCs w:val="21"/>
          <w:shd w:val="clear" w:color="auto" w:fill="FFFFFF"/>
          <w:lang w:val="zh-CN"/>
        </w:rPr>
        <w:t>部门财政资金支出情况。</w:t>
      </w:r>
      <w:r>
        <w:rPr>
          <w:rFonts w:hint="eastAsia" w:ascii="仿宋_GB2312" w:hAnsi="Calibri" w:eastAsia="仿宋_GB2312"/>
          <w:sz w:val="30"/>
          <w:szCs w:val="30"/>
          <w:lang w:val="zh-CN"/>
        </w:rPr>
        <w:t>本单位2019年总支出</w:t>
      </w:r>
      <w:r>
        <w:rPr>
          <w:rFonts w:hint="eastAsia" w:ascii="仿宋_GB2312" w:hAnsi="Calibri" w:eastAsia="仿宋_GB2312"/>
          <w:sz w:val="30"/>
          <w:szCs w:val="30"/>
        </w:rPr>
        <w:t>2265.63万</w:t>
      </w:r>
      <w:r>
        <w:rPr>
          <w:rFonts w:hint="eastAsia" w:ascii="仿宋_GB2312" w:hAnsi="Calibri" w:eastAsia="仿宋_GB2312"/>
          <w:sz w:val="30"/>
          <w:szCs w:val="30"/>
          <w:lang w:val="zh-CN"/>
        </w:rPr>
        <w:t>元，其中商品和服务支出</w:t>
      </w:r>
      <w:r>
        <w:rPr>
          <w:rFonts w:hint="eastAsia" w:ascii="仿宋_GB2312" w:hAnsi="Calibri" w:eastAsia="仿宋_GB2312"/>
          <w:sz w:val="30"/>
          <w:szCs w:val="30"/>
        </w:rPr>
        <w:t>779.61万</w:t>
      </w:r>
      <w:r>
        <w:rPr>
          <w:rFonts w:hint="eastAsia" w:ascii="仿宋_GB2312" w:hAnsi="Calibri" w:eastAsia="仿宋_GB2312"/>
          <w:sz w:val="30"/>
          <w:szCs w:val="30"/>
          <w:lang w:val="zh-CN"/>
        </w:rPr>
        <w:t>元，</w:t>
      </w:r>
      <w:r>
        <w:rPr>
          <w:rFonts w:hint="eastAsia" w:ascii="仿宋_GB2312" w:hAnsi="Calibri" w:eastAsia="仿宋_GB2312"/>
          <w:sz w:val="30"/>
          <w:szCs w:val="30"/>
        </w:rPr>
        <w:t>占比34.41%。</w:t>
      </w:r>
      <w:bookmarkEnd w:id="88"/>
    </w:p>
    <w:p w14:paraId="304415B8">
      <w:pPr>
        <w:spacing w:line="600" w:lineRule="exact"/>
        <w:outlineLvl w:val="1"/>
        <w:rPr>
          <w:rFonts w:ascii="黑体" w:hAnsi="Calibri" w:eastAsia="黑体"/>
          <w:sz w:val="32"/>
          <w:szCs w:val="32"/>
          <w:shd w:val="clear" w:color="auto" w:fill="FFFFFF"/>
          <w:lang w:val="zh-CN"/>
        </w:rPr>
      </w:pPr>
      <w:bookmarkStart w:id="89" w:name="_Toc25454"/>
      <w:r>
        <w:rPr>
          <w:rFonts w:hint="eastAsia" w:ascii="黑体" w:hAnsi="Calibri" w:eastAsia="黑体"/>
          <w:sz w:val="32"/>
          <w:szCs w:val="32"/>
          <w:shd w:val="clear" w:color="auto" w:fill="FFFFFF"/>
          <w:lang w:val="zh-CN"/>
        </w:rPr>
        <w:t>三、部门财政支出管理情况</w:t>
      </w:r>
      <w:bookmarkEnd w:id="89"/>
    </w:p>
    <w:p w14:paraId="748FDD6E">
      <w:pPr>
        <w:numPr>
          <w:ilvl w:val="0"/>
          <w:numId w:val="4"/>
        </w:numPr>
        <w:spacing w:line="600" w:lineRule="exact"/>
        <w:outlineLvl w:val="1"/>
        <w:rPr>
          <w:rFonts w:ascii="楷体_GB2312" w:hAnsi="Calibri" w:eastAsia="楷体_GB2312"/>
          <w:sz w:val="32"/>
          <w:szCs w:val="21"/>
          <w:shd w:val="clear" w:color="auto" w:fill="FFFFFF"/>
          <w:lang w:val="zh-CN"/>
        </w:rPr>
      </w:pPr>
      <w:bookmarkStart w:id="90" w:name="_Toc9871"/>
      <w:r>
        <w:rPr>
          <w:rFonts w:hint="eastAsia" w:ascii="楷体_GB2312" w:hAnsi="Calibri" w:eastAsia="楷体_GB2312"/>
          <w:sz w:val="32"/>
          <w:szCs w:val="21"/>
          <w:shd w:val="clear" w:color="auto" w:fill="FFFFFF"/>
          <w:lang w:val="zh-CN"/>
        </w:rPr>
        <w:t>预决算编制情况。</w:t>
      </w:r>
      <w:bookmarkEnd w:id="90"/>
    </w:p>
    <w:p w14:paraId="58046DC3">
      <w:pPr>
        <w:numPr>
          <w:ilvl w:val="1"/>
          <w:numId w:val="4"/>
        </w:numPr>
        <w:spacing w:line="600" w:lineRule="exact"/>
        <w:outlineLvl w:val="1"/>
        <w:rPr>
          <w:rFonts w:ascii="仿宋_GB2312" w:hAnsi="Calibri" w:eastAsia="仿宋_GB2312"/>
          <w:sz w:val="30"/>
          <w:szCs w:val="30"/>
          <w:lang w:val="zh-CN"/>
        </w:rPr>
      </w:pPr>
      <w:bookmarkStart w:id="91" w:name="_Toc18976"/>
      <w:r>
        <w:rPr>
          <w:rFonts w:hint="eastAsia" w:ascii="仿宋_GB2312" w:hAnsi="Calibri" w:eastAsia="仿宋_GB2312"/>
          <w:sz w:val="30"/>
          <w:szCs w:val="30"/>
          <w:lang w:val="zh-CN"/>
        </w:rPr>
        <w:t>本单位严格根据国家有关方针、政策，按照上级下达的事业计划、任务，本着收支平衡的原则，编制预算。</w:t>
      </w:r>
      <w:bookmarkEnd w:id="91"/>
    </w:p>
    <w:p w14:paraId="649AC940">
      <w:pPr>
        <w:numPr>
          <w:ilvl w:val="1"/>
          <w:numId w:val="4"/>
        </w:numPr>
        <w:spacing w:line="600" w:lineRule="exact"/>
        <w:outlineLvl w:val="1"/>
        <w:rPr>
          <w:rFonts w:ascii="仿宋_GB2312" w:hAnsi="Calibri" w:eastAsia="仿宋_GB2312"/>
          <w:sz w:val="30"/>
          <w:szCs w:val="30"/>
          <w:lang w:val="zh-CN"/>
        </w:rPr>
      </w:pPr>
      <w:bookmarkStart w:id="92" w:name="_Toc32129"/>
      <w:r>
        <w:rPr>
          <w:rFonts w:hint="eastAsia" w:ascii="仿宋_GB2312" w:hAnsi="Calibri" w:eastAsia="仿宋_GB2312"/>
          <w:sz w:val="30"/>
          <w:szCs w:val="30"/>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bookmarkEnd w:id="92"/>
    </w:p>
    <w:p w14:paraId="21E49D7E">
      <w:pPr>
        <w:numPr>
          <w:ilvl w:val="1"/>
          <w:numId w:val="4"/>
        </w:numPr>
        <w:spacing w:line="600" w:lineRule="exact"/>
        <w:outlineLvl w:val="1"/>
        <w:rPr>
          <w:rFonts w:ascii="仿宋_GB2312" w:hAnsi="Calibri" w:eastAsia="仿宋_GB2312"/>
          <w:sz w:val="30"/>
          <w:szCs w:val="30"/>
          <w:lang w:val="zh-CN"/>
        </w:rPr>
      </w:pPr>
      <w:bookmarkStart w:id="93" w:name="_Toc6741"/>
      <w:r>
        <w:rPr>
          <w:rFonts w:hint="eastAsia" w:ascii="仿宋_GB2312" w:hAnsi="Calibri" w:eastAsia="仿宋_GB2312"/>
          <w:sz w:val="30"/>
          <w:szCs w:val="30"/>
          <w:lang w:val="zh-CN"/>
        </w:rPr>
        <w:t>本单位在预决算编制过程中全面实行项目及总体绩效评价目标</w:t>
      </w:r>
      <w:bookmarkEnd w:id="93"/>
      <w:bookmarkStart w:id="94" w:name="_Toc11103"/>
      <w:r>
        <w:rPr>
          <w:rFonts w:hint="eastAsia" w:ascii="仿宋_GB2312" w:hAnsi="Calibri" w:eastAsia="仿宋_GB2312"/>
          <w:sz w:val="30"/>
          <w:szCs w:val="30"/>
          <w:lang w:val="zh-CN"/>
        </w:rPr>
        <w:t>填报。</w:t>
      </w:r>
      <w:bookmarkEnd w:id="94"/>
    </w:p>
    <w:p w14:paraId="4288634A">
      <w:pPr>
        <w:numPr>
          <w:ilvl w:val="0"/>
          <w:numId w:val="4"/>
        </w:numPr>
        <w:spacing w:line="600" w:lineRule="exact"/>
        <w:outlineLvl w:val="1"/>
        <w:rPr>
          <w:rFonts w:ascii="楷体_GB2312" w:hAnsi="Calibri" w:eastAsia="楷体_GB2312"/>
          <w:sz w:val="32"/>
          <w:szCs w:val="21"/>
          <w:shd w:val="clear" w:color="auto" w:fill="FFFFFF"/>
          <w:lang w:val="zh-CN"/>
        </w:rPr>
      </w:pPr>
      <w:bookmarkStart w:id="95" w:name="_Toc23646"/>
      <w:r>
        <w:rPr>
          <w:rFonts w:hint="eastAsia" w:ascii="楷体_GB2312" w:hAnsi="Calibri" w:eastAsia="楷体_GB2312"/>
          <w:sz w:val="32"/>
          <w:szCs w:val="21"/>
          <w:shd w:val="clear" w:color="auto" w:fill="FFFFFF"/>
          <w:lang w:val="zh-CN"/>
        </w:rPr>
        <w:t>执行管理情况</w:t>
      </w:r>
      <w:bookmarkEnd w:id="95"/>
    </w:p>
    <w:p w14:paraId="2C2BF50F">
      <w:pPr>
        <w:numPr>
          <w:ilvl w:val="1"/>
          <w:numId w:val="4"/>
        </w:numPr>
        <w:spacing w:line="600" w:lineRule="exact"/>
        <w:outlineLvl w:val="1"/>
        <w:rPr>
          <w:rFonts w:ascii="仿宋_GB2312" w:hAnsi="仿宋" w:eastAsia="仿宋_GB2312"/>
          <w:sz w:val="30"/>
          <w:szCs w:val="30"/>
        </w:rPr>
      </w:pPr>
      <w:bookmarkStart w:id="96" w:name="_Toc3327"/>
      <w:r>
        <w:rPr>
          <w:rFonts w:hint="eastAsia" w:ascii="仿宋_GB2312" w:hAnsi="仿宋" w:eastAsia="仿宋_GB2312"/>
          <w:sz w:val="30"/>
          <w:szCs w:val="30"/>
        </w:rPr>
        <w:t>本单位严格按照预决算管理制度执行，依法依规及时分配上级专项资金，专项资金使用完成情况100%。</w:t>
      </w:r>
      <w:bookmarkEnd w:id="96"/>
    </w:p>
    <w:p w14:paraId="03D73FA3">
      <w:pPr>
        <w:pStyle w:val="30"/>
        <w:numPr>
          <w:ilvl w:val="0"/>
          <w:numId w:val="0"/>
        </w:numPr>
        <w:ind w:left="896" w:leftChars="284" w:hanging="300" w:hangingChars="100"/>
        <w:rPr>
          <w:rFonts w:ascii="仿宋_GB2312" w:hAnsi="仿宋" w:eastAsia="仿宋_GB2312"/>
          <w:sz w:val="30"/>
          <w:szCs w:val="30"/>
          <w:lang w:val="en-US"/>
        </w:rPr>
      </w:pPr>
      <w:bookmarkStart w:id="97" w:name="_Toc8303"/>
      <w:r>
        <w:rPr>
          <w:rFonts w:hint="eastAsia" w:ascii="仿宋_GB2312" w:hAnsi="仿宋" w:eastAsia="仿宋_GB2312"/>
          <w:sz w:val="30"/>
          <w:szCs w:val="30"/>
          <w:lang w:val="en-US"/>
        </w:rPr>
        <w:t>2.严格按照</w:t>
      </w:r>
      <w:bookmarkStart w:id="134" w:name="_GoBack"/>
      <w:bookmarkEnd w:id="134"/>
      <w:r>
        <w:rPr>
          <w:rFonts w:hint="eastAsia" w:ascii="仿宋_GB2312" w:hAnsi="仿宋" w:eastAsia="仿宋_GB2312"/>
          <w:sz w:val="30"/>
          <w:szCs w:val="30"/>
          <w:lang w:val="en-US"/>
        </w:rPr>
        <w:t>中央八项规定等政策文件的规定开展日常工作。三公经费支出因机构改革，农业部门公务接待增多比上年增长0.42万元。</w:t>
      </w:r>
      <w:bookmarkEnd w:id="97"/>
    </w:p>
    <w:p w14:paraId="7C571968">
      <w:pPr>
        <w:numPr>
          <w:ilvl w:val="0"/>
          <w:numId w:val="4"/>
        </w:numPr>
        <w:spacing w:line="600" w:lineRule="exact"/>
        <w:outlineLvl w:val="1"/>
        <w:rPr>
          <w:rFonts w:ascii="仿宋_GB2312" w:hAnsi="Calibri" w:eastAsia="楷体_GB2312"/>
          <w:sz w:val="30"/>
          <w:szCs w:val="30"/>
          <w:lang w:val="zh-CN"/>
        </w:rPr>
      </w:pPr>
      <w:bookmarkStart w:id="98" w:name="_Toc26000"/>
      <w:r>
        <w:rPr>
          <w:rFonts w:hint="eastAsia" w:ascii="仿宋_GB2312" w:hAnsi="Calibri" w:eastAsia="楷体_GB2312"/>
          <w:sz w:val="30"/>
          <w:szCs w:val="30"/>
          <w:lang w:val="zh-CN"/>
        </w:rPr>
        <w:t>综合管理情况</w:t>
      </w:r>
      <w:bookmarkEnd w:id="98"/>
    </w:p>
    <w:p w14:paraId="60277BDF">
      <w:pPr>
        <w:numPr>
          <w:ilvl w:val="1"/>
          <w:numId w:val="4"/>
        </w:numPr>
        <w:spacing w:line="600" w:lineRule="exact"/>
        <w:outlineLvl w:val="1"/>
        <w:rPr>
          <w:rFonts w:ascii="仿宋_GB2312" w:hAnsi="Calibri" w:eastAsia="仿宋_GB2312"/>
          <w:sz w:val="30"/>
          <w:szCs w:val="30"/>
          <w:lang w:val="zh-CN"/>
        </w:rPr>
      </w:pPr>
      <w:bookmarkStart w:id="99" w:name="_Toc2444"/>
      <w:r>
        <w:rPr>
          <w:rFonts w:hint="eastAsia" w:ascii="仿宋_GB2312" w:hAnsi="Calibri" w:eastAsia="仿宋_GB2312"/>
          <w:sz w:val="30"/>
          <w:szCs w:val="30"/>
          <w:lang w:val="zh-CN"/>
        </w:rPr>
        <w:t>严格按照政府采购相关制度要求，事前编制采购预算，事中编制采购计划，严控采购流程和招投标工作。</w:t>
      </w:r>
      <w:bookmarkEnd w:id="99"/>
    </w:p>
    <w:p w14:paraId="43F88121">
      <w:pPr>
        <w:numPr>
          <w:ilvl w:val="1"/>
          <w:numId w:val="4"/>
        </w:numPr>
        <w:spacing w:line="600" w:lineRule="exact"/>
        <w:outlineLvl w:val="1"/>
        <w:rPr>
          <w:rFonts w:ascii="仿宋_GB2312" w:hAnsi="Calibri" w:eastAsia="仿宋_GB2312"/>
          <w:sz w:val="30"/>
          <w:szCs w:val="30"/>
          <w:lang w:val="zh-CN"/>
        </w:rPr>
      </w:pPr>
      <w:bookmarkStart w:id="100" w:name="_Toc11888"/>
      <w:r>
        <w:rPr>
          <w:rFonts w:hint="eastAsia" w:ascii="仿宋_GB2312" w:hAnsi="Calibri" w:eastAsia="仿宋_GB2312"/>
          <w:sz w:val="30"/>
          <w:szCs w:val="30"/>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bookmarkEnd w:id="100"/>
    </w:p>
    <w:p w14:paraId="3AA84F17">
      <w:pPr>
        <w:numPr>
          <w:ilvl w:val="1"/>
          <w:numId w:val="4"/>
        </w:numPr>
        <w:spacing w:line="600" w:lineRule="exact"/>
        <w:outlineLvl w:val="1"/>
        <w:rPr>
          <w:rFonts w:ascii="仿宋_GB2312" w:hAnsi="Calibri" w:eastAsia="仿宋_GB2312"/>
          <w:sz w:val="30"/>
          <w:szCs w:val="30"/>
          <w:lang w:val="zh-CN"/>
        </w:rPr>
      </w:pPr>
      <w:bookmarkStart w:id="101" w:name="_Toc3185"/>
      <w:r>
        <w:rPr>
          <w:rFonts w:hint="eastAsia" w:ascii="仿宋_GB2312" w:hAnsi="Calibri" w:eastAsia="仿宋_GB2312"/>
          <w:sz w:val="30"/>
          <w:szCs w:val="30"/>
          <w:lang w:val="zh-CN"/>
        </w:rPr>
        <w:t>本单位内部建立专门的管理制度规范内部控制工作的开展，包括岗位人员责任岗位分离制度、收入支出管理制度、财务档案管理、票据管理、财务印章管理、专项资金管理制度办法等。</w:t>
      </w:r>
      <w:bookmarkEnd w:id="101"/>
    </w:p>
    <w:p w14:paraId="18F2C584">
      <w:pPr>
        <w:numPr>
          <w:ilvl w:val="1"/>
          <w:numId w:val="4"/>
        </w:numPr>
        <w:spacing w:line="600" w:lineRule="exact"/>
        <w:outlineLvl w:val="1"/>
        <w:rPr>
          <w:rFonts w:ascii="仿宋_GB2312" w:hAnsi="Calibri" w:eastAsia="仿宋_GB2312"/>
          <w:sz w:val="30"/>
          <w:szCs w:val="30"/>
          <w:lang w:val="zh-CN"/>
        </w:rPr>
      </w:pPr>
      <w:bookmarkStart w:id="102" w:name="_Toc20180"/>
      <w:r>
        <w:rPr>
          <w:rFonts w:hint="eastAsia" w:ascii="仿宋_GB2312" w:hAnsi="Calibri" w:eastAsia="仿宋_GB2312"/>
          <w:sz w:val="30"/>
          <w:szCs w:val="30"/>
          <w:lang w:val="zh-CN"/>
        </w:rPr>
        <w:t>本单位严格执行预决算公开制度。</w:t>
      </w:r>
      <w:bookmarkEnd w:id="102"/>
    </w:p>
    <w:p w14:paraId="04294541">
      <w:pPr>
        <w:numPr>
          <w:ilvl w:val="1"/>
          <w:numId w:val="4"/>
        </w:numPr>
        <w:spacing w:line="600" w:lineRule="exact"/>
        <w:outlineLvl w:val="1"/>
        <w:rPr>
          <w:rFonts w:ascii="仿宋_GB2312" w:hAnsi="Calibri" w:eastAsia="仿宋_GB2312"/>
          <w:sz w:val="30"/>
          <w:szCs w:val="30"/>
          <w:lang w:val="zh-CN"/>
        </w:rPr>
      </w:pPr>
      <w:bookmarkStart w:id="103" w:name="_Toc27432"/>
      <w:r>
        <w:rPr>
          <w:rFonts w:hint="eastAsia" w:ascii="仿宋_GB2312" w:hAnsi="Calibri" w:eastAsia="仿宋_GB2312"/>
          <w:sz w:val="30"/>
          <w:szCs w:val="30"/>
          <w:lang w:val="zh-CN"/>
        </w:rPr>
        <w:t>本单位在预决算编制过程中全面实行项目及总体绩效评价目标填报及按要求报送绩效自评报告。</w:t>
      </w:r>
      <w:bookmarkEnd w:id="103"/>
    </w:p>
    <w:p w14:paraId="3AC9D0B1">
      <w:pPr>
        <w:numPr>
          <w:ilvl w:val="1"/>
          <w:numId w:val="4"/>
        </w:numPr>
        <w:spacing w:line="600" w:lineRule="exact"/>
        <w:outlineLvl w:val="1"/>
        <w:rPr>
          <w:rFonts w:ascii="仿宋_GB2312" w:hAnsi="Calibri" w:eastAsia="仿宋_GB2312"/>
          <w:sz w:val="30"/>
          <w:szCs w:val="30"/>
          <w:lang w:val="zh-CN"/>
        </w:rPr>
      </w:pPr>
      <w:bookmarkStart w:id="104" w:name="_Toc16805"/>
      <w:r>
        <w:rPr>
          <w:rFonts w:hint="eastAsia" w:ascii="仿宋_GB2312" w:hAnsi="Calibri" w:eastAsia="仿宋_GB2312"/>
          <w:sz w:val="30"/>
          <w:szCs w:val="30"/>
          <w:lang w:val="zh-CN"/>
        </w:rPr>
        <w:t>本单位全面接受财政监督检查，在2019年的各项检查中无违规违纪现象。</w:t>
      </w:r>
      <w:bookmarkEnd w:id="104"/>
    </w:p>
    <w:p w14:paraId="6C1D7D2D">
      <w:pPr>
        <w:numPr>
          <w:ilvl w:val="0"/>
          <w:numId w:val="4"/>
        </w:numPr>
        <w:spacing w:line="600" w:lineRule="exact"/>
        <w:outlineLvl w:val="1"/>
        <w:rPr>
          <w:rFonts w:ascii="楷体_GB2312" w:hAnsi="Calibri" w:eastAsia="楷体_GB2312"/>
          <w:sz w:val="32"/>
          <w:szCs w:val="21"/>
          <w:lang w:val="zh-CN"/>
        </w:rPr>
      </w:pPr>
      <w:bookmarkStart w:id="105" w:name="_Toc31216"/>
      <w:r>
        <w:rPr>
          <w:rFonts w:hint="eastAsia" w:ascii="仿宋_GB2312" w:hAnsi="Calibri" w:eastAsia="楷体_GB2312"/>
          <w:sz w:val="30"/>
          <w:szCs w:val="30"/>
          <w:lang w:val="zh-CN"/>
        </w:rPr>
        <w:t>整体绩效。</w:t>
      </w:r>
      <w:bookmarkEnd w:id="105"/>
    </w:p>
    <w:p w14:paraId="4F36729D">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2019年，我分局在高新区党工委、管委会的正确指导下，坚持“严起来、紧起来、快起来”的工作导向，积极适应新形势新要求，奋力推进各项工作。</w:t>
      </w:r>
    </w:p>
    <w:p w14:paraId="198EABFE">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1、稳步推进牵头项目。乐山高新区嘉祥外国语学校已完成一期项目建设任务，并于2019年9月正式开学；乐山国家高新区实验小学已完成主体结构封顶，正在开展内部装修和外墙贴砖等。</w:t>
      </w:r>
    </w:p>
    <w:p w14:paraId="013004C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扎实开展脱贫攻坚工作。全面完成市上下达贫困户持续巩固提升任务，完成2户贫困户院坝硬化；全年对17名贫困户在校生实施教育扶贫；开发农村公益性岗位22个；落实低保贫困户60户152人；实现医疗保障全覆盖等。</w:t>
      </w:r>
    </w:p>
    <w:p w14:paraId="5DAC4AFE">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3、扎实推进乡村振兴工作。组织召开乡村振兴联席会议4次，争取财政资金40万元，启动高新区乡村振兴规划；积极申请村级集体经济省级100万元扶持项目。</w:t>
      </w:r>
    </w:p>
    <w:p w14:paraId="552AAF2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认真推进“双创”工作。投入2.2亿，完成大渡河桥头绿化带景观打造、区内道路黑化硬化、公厕改造、农贸市场改造提升、环卫基础设施增设，病媒生物防制等高新区形象工程提升，签订“门前三包”、“门前五包”责任书5300余份，发放宣传手册4万余份，张贴宣传画1100余幅、公益广告6.8万幅，制作墙体喷绘、标语8幅、温馨提示牌及各类标识标牌300余个，设置49个健康教育专栏和宣传展板37个。</w:t>
      </w:r>
    </w:p>
    <w:p w14:paraId="4040503C">
      <w:pPr>
        <w:pStyle w:val="5"/>
        <w:adjustRightInd w:val="0"/>
        <w:snapToGrid w:val="0"/>
        <w:spacing w:before="93" w:line="600" w:lineRule="exact"/>
        <w:ind w:firstLine="672" w:firstLineChars="210"/>
        <w:outlineLvl w:val="2"/>
        <w:rPr>
          <w:szCs w:val="30"/>
        </w:rPr>
      </w:pPr>
      <w:r>
        <w:rPr>
          <w:rFonts w:hint="eastAsia" w:ascii="仿宋" w:hAnsi="仿宋" w:eastAsia="仿宋"/>
          <w:bCs/>
          <w:color w:val="000000"/>
          <w:sz w:val="32"/>
          <w:szCs w:val="32"/>
        </w:rPr>
        <w:t>5、持续推进公共服务事业发展。围绕中心，服务大局，扎实有序的推进公共服务事业发展。一是投入资金约3200万元用于教育支出，用于教师福利待遇、师资队伍培训、学校维修加固、减免义务教育阶段2656名学生实施“三免一补”政策、减免学前教育152名在园幼儿保教费、减免22名精准扶贫学生教学帮扶，向市争取项目资金110万元用于高新区实验幼儿园和安谷镇中心校幼儿园维修、改造。</w:t>
      </w:r>
    </w:p>
    <w:p w14:paraId="6229BDC3">
      <w:pPr>
        <w:numPr>
          <w:ilvl w:val="0"/>
          <w:numId w:val="5"/>
        </w:numPr>
        <w:topLinePunct/>
        <w:spacing w:line="600" w:lineRule="exact"/>
        <w:outlineLvl w:val="0"/>
        <w:rPr>
          <w:rFonts w:ascii="黑体" w:hAnsi="Calibri" w:eastAsia="黑体"/>
          <w:sz w:val="32"/>
          <w:szCs w:val="32"/>
          <w:shd w:val="clear" w:color="auto" w:fill="FFFFFF"/>
        </w:rPr>
      </w:pPr>
      <w:bookmarkStart w:id="106" w:name="_Toc9017"/>
      <w:r>
        <w:rPr>
          <w:rFonts w:hint="eastAsia" w:ascii="黑体" w:hAnsi="Calibri" w:eastAsia="黑体"/>
          <w:sz w:val="32"/>
          <w:szCs w:val="32"/>
          <w:shd w:val="clear" w:color="auto" w:fill="FFFFFF"/>
        </w:rPr>
        <w:t>评价结论及建议</w:t>
      </w:r>
      <w:bookmarkEnd w:id="106"/>
    </w:p>
    <w:p w14:paraId="1354EEF2">
      <w:pPr>
        <w:numPr>
          <w:ilvl w:val="0"/>
          <w:numId w:val="6"/>
        </w:numPr>
        <w:spacing w:line="600" w:lineRule="exact"/>
        <w:outlineLvl w:val="1"/>
        <w:rPr>
          <w:rFonts w:ascii="楷体_GB2312" w:hAnsi="Calibri" w:eastAsia="楷体_GB2312"/>
          <w:sz w:val="32"/>
          <w:szCs w:val="21"/>
          <w:shd w:val="clear" w:color="auto" w:fill="FFFFFF"/>
          <w:lang w:val="zh-CN"/>
        </w:rPr>
      </w:pPr>
      <w:bookmarkStart w:id="107" w:name="_Toc24724"/>
      <w:r>
        <w:rPr>
          <w:rFonts w:hint="eastAsia" w:ascii="楷体_GB2312" w:hAnsi="Calibri" w:eastAsia="楷体_GB2312"/>
          <w:sz w:val="32"/>
          <w:szCs w:val="21"/>
          <w:shd w:val="clear" w:color="auto" w:fill="FFFFFF"/>
          <w:lang w:val="zh-CN"/>
        </w:rPr>
        <w:t>评价结论。</w:t>
      </w:r>
      <w:bookmarkEnd w:id="107"/>
    </w:p>
    <w:p w14:paraId="55B9C209">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本单位履行职责职能,严格按预算法及高新区管委会的要求编制预决算、按财经法规及制度使用、管理资金,成效明显,主要体现在以下几个方面：</w:t>
      </w:r>
    </w:p>
    <w:p w14:paraId="472B1A98">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1.资金使用效益合理有效，保障了财政供养人员的日常开支，资金使用无虚列支出及随意使用现象,无大额现金支付现象。</w:t>
      </w:r>
    </w:p>
    <w:p w14:paraId="5B75547E">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2.资金使用社会效益好。</w:t>
      </w:r>
    </w:p>
    <w:p w14:paraId="36D3373D">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3.根据财政整体支出绩效评价的内容要求，本单位的自查结果为“良”。</w:t>
      </w:r>
    </w:p>
    <w:p w14:paraId="378F1F71">
      <w:pPr>
        <w:numPr>
          <w:ilvl w:val="0"/>
          <w:numId w:val="1"/>
        </w:numPr>
        <w:spacing w:line="600" w:lineRule="exact"/>
        <w:outlineLvl w:val="1"/>
        <w:rPr>
          <w:rFonts w:ascii="楷体_GB2312" w:hAnsi="Calibri" w:eastAsia="楷体_GB2312"/>
          <w:sz w:val="32"/>
          <w:szCs w:val="21"/>
          <w:shd w:val="clear" w:color="auto" w:fill="FFFFFF"/>
          <w:lang w:val="zh-CN"/>
        </w:rPr>
      </w:pPr>
      <w:bookmarkStart w:id="108" w:name="_Toc11725"/>
      <w:r>
        <w:rPr>
          <w:rFonts w:hint="eastAsia" w:ascii="楷体_GB2312" w:hAnsi="Calibri" w:eastAsia="楷体_GB2312"/>
          <w:sz w:val="32"/>
          <w:szCs w:val="21"/>
          <w:shd w:val="clear" w:color="auto" w:fill="FFFFFF"/>
          <w:lang w:val="zh-CN"/>
        </w:rPr>
        <w:t>存在问题。</w:t>
      </w:r>
      <w:bookmarkEnd w:id="108"/>
    </w:p>
    <w:p w14:paraId="3FB9CA5D">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本部门收入支出预决算差异过大，未能准确编制预算，预算编制精细化称度有待提高。</w:t>
      </w:r>
    </w:p>
    <w:p w14:paraId="2BD856DF">
      <w:pPr>
        <w:numPr>
          <w:ilvl w:val="0"/>
          <w:numId w:val="1"/>
        </w:numPr>
        <w:spacing w:line="600" w:lineRule="exact"/>
        <w:outlineLvl w:val="1"/>
        <w:rPr>
          <w:rFonts w:ascii="楷体_GB2312" w:hAnsi="Calibri" w:eastAsia="楷体_GB2312"/>
          <w:sz w:val="32"/>
          <w:szCs w:val="21"/>
          <w:shd w:val="clear" w:color="auto" w:fill="FFFFFF"/>
          <w:lang w:val="zh-CN"/>
        </w:rPr>
      </w:pPr>
      <w:bookmarkStart w:id="109" w:name="_Toc25461"/>
      <w:r>
        <w:rPr>
          <w:rFonts w:hint="eastAsia" w:ascii="楷体_GB2312" w:hAnsi="Calibri" w:eastAsia="楷体_GB2312"/>
          <w:sz w:val="32"/>
          <w:szCs w:val="21"/>
          <w:shd w:val="clear" w:color="auto" w:fill="FFFFFF"/>
          <w:lang w:val="zh-CN"/>
        </w:rPr>
        <w:t>改进建议。</w:t>
      </w:r>
      <w:bookmarkEnd w:id="109"/>
    </w:p>
    <w:p w14:paraId="07F462CD">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在今后的工作一方面要严格预算编制，做到细化精确，另一方面按照“统筹兼顾、勤俭节约、量力而行、讲求绩效、收支平衡”的原则，根据项目实施进度和实际需求安排预算。</w:t>
      </w:r>
    </w:p>
    <w:p w14:paraId="350DA338">
      <w:pPr>
        <w:spacing w:line="580" w:lineRule="exact"/>
        <w:ind w:firstLine="640" w:firstLineChars="200"/>
        <w:rPr>
          <w:rFonts w:ascii="仿宋_GB2312" w:hAnsi="仿宋_GB2312" w:eastAsia="仿宋_GB2312" w:cs="仿宋_GB2312"/>
          <w:sz w:val="32"/>
          <w:szCs w:val="32"/>
        </w:rPr>
      </w:pPr>
    </w:p>
    <w:p w14:paraId="1782D4E0"/>
    <w:bookmarkEnd w:id="79"/>
    <w:p w14:paraId="691F70B2">
      <w:pPr>
        <w:widowControl/>
        <w:jc w:val="left"/>
      </w:pPr>
    </w:p>
    <w:p w14:paraId="28CDA018">
      <w:pPr>
        <w:pStyle w:val="2"/>
        <w:jc w:val="center"/>
        <w:rPr>
          <w:rFonts w:ascii="黑体" w:hAnsi="黑体" w:eastAsia="黑体" w:cs="黑体"/>
          <w:b w:val="0"/>
          <w:bCs w:val="0"/>
          <w:color w:val="000000"/>
        </w:rPr>
      </w:pPr>
      <w:bookmarkStart w:id="110" w:name="_Toc15396618"/>
      <w:bookmarkStart w:id="111" w:name="_Toc8947"/>
      <w:r>
        <w:rPr>
          <w:rFonts w:hint="eastAsia" w:ascii="黑体" w:hAnsi="黑体" w:eastAsia="黑体" w:cs="黑体"/>
          <w:b w:val="0"/>
          <w:bCs w:val="0"/>
        </w:rPr>
        <w:t>第五部分 附表</w:t>
      </w:r>
      <w:bookmarkEnd w:id="77"/>
      <w:bookmarkEnd w:id="110"/>
      <w:bookmarkEnd w:id="111"/>
    </w:p>
    <w:p w14:paraId="2FECA7C9">
      <w:pPr>
        <w:pStyle w:val="3"/>
        <w:rPr>
          <w:rFonts w:ascii="仿宋" w:hAnsi="仿宋" w:eastAsia="仿宋"/>
          <w:color w:val="000000"/>
        </w:rPr>
      </w:pPr>
      <w:bookmarkStart w:id="112" w:name="_Toc15396619"/>
      <w:bookmarkStart w:id="113" w:name="_Toc22983"/>
      <w:r>
        <w:rPr>
          <w:rFonts w:hint="eastAsia" w:ascii="仿宋" w:hAnsi="仿宋" w:eastAsia="仿宋"/>
          <w:b w:val="0"/>
          <w:color w:val="000000"/>
        </w:rPr>
        <w:t>一、收</w:t>
      </w:r>
      <w:r>
        <w:rPr>
          <w:rStyle w:val="25"/>
          <w:rFonts w:hint="eastAsia" w:ascii="仿宋" w:hAnsi="仿宋" w:eastAsia="仿宋"/>
          <w:b w:val="0"/>
          <w:bCs w:val="0"/>
        </w:rPr>
        <w:t>入支出决算总表</w:t>
      </w:r>
      <w:bookmarkEnd w:id="112"/>
      <w:bookmarkEnd w:id="113"/>
    </w:p>
    <w:p w14:paraId="3885300D">
      <w:pPr>
        <w:pStyle w:val="3"/>
        <w:rPr>
          <w:rFonts w:ascii="仿宋" w:hAnsi="仿宋" w:eastAsia="仿宋"/>
          <w:color w:val="000000"/>
        </w:rPr>
      </w:pPr>
      <w:bookmarkStart w:id="114" w:name="_Toc15396620"/>
      <w:bookmarkStart w:id="115" w:name="_Toc20817"/>
      <w:r>
        <w:rPr>
          <w:rFonts w:hint="eastAsia" w:ascii="仿宋" w:hAnsi="仿宋" w:eastAsia="仿宋"/>
          <w:b w:val="0"/>
          <w:color w:val="000000"/>
        </w:rPr>
        <w:t>二、收</w:t>
      </w:r>
      <w:r>
        <w:rPr>
          <w:rStyle w:val="25"/>
          <w:rFonts w:hint="eastAsia" w:ascii="仿宋" w:hAnsi="仿宋" w:eastAsia="仿宋"/>
          <w:b w:val="0"/>
          <w:bCs w:val="0"/>
        </w:rPr>
        <w:t>入决算表</w:t>
      </w:r>
      <w:bookmarkEnd w:id="114"/>
      <w:bookmarkEnd w:id="115"/>
    </w:p>
    <w:p w14:paraId="79C306F2">
      <w:pPr>
        <w:pStyle w:val="3"/>
        <w:rPr>
          <w:rFonts w:ascii="仿宋" w:hAnsi="仿宋" w:eastAsia="仿宋"/>
          <w:color w:val="000000"/>
        </w:rPr>
      </w:pPr>
      <w:bookmarkStart w:id="116" w:name="_Toc15396621"/>
      <w:bookmarkStart w:id="117" w:name="_Toc25299"/>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116"/>
      <w:bookmarkEnd w:id="117"/>
    </w:p>
    <w:p w14:paraId="55F957BA">
      <w:pPr>
        <w:pStyle w:val="3"/>
        <w:rPr>
          <w:rFonts w:ascii="仿宋" w:hAnsi="仿宋" w:eastAsia="仿宋"/>
          <w:b w:val="0"/>
          <w:color w:val="000000"/>
        </w:rPr>
      </w:pPr>
      <w:bookmarkStart w:id="118" w:name="_Toc15396622"/>
      <w:bookmarkStart w:id="119" w:name="_Toc8540"/>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18"/>
      <w:bookmarkEnd w:id="119"/>
    </w:p>
    <w:p w14:paraId="65D4DE50">
      <w:pPr>
        <w:pStyle w:val="3"/>
        <w:rPr>
          <w:rStyle w:val="25"/>
          <w:rFonts w:ascii="仿宋" w:hAnsi="仿宋" w:eastAsia="仿宋"/>
          <w:b w:val="0"/>
          <w:bCs w:val="0"/>
        </w:rPr>
      </w:pPr>
      <w:bookmarkStart w:id="120" w:name="_Toc15396623"/>
      <w:bookmarkStart w:id="121" w:name="_Toc14915"/>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20"/>
      <w:bookmarkEnd w:id="121"/>
      <w:bookmarkStart w:id="122" w:name="_Toc15396624"/>
    </w:p>
    <w:p w14:paraId="2D0CD12C">
      <w:pPr>
        <w:pStyle w:val="3"/>
        <w:rPr>
          <w:rFonts w:ascii="仿宋" w:hAnsi="仿宋" w:eastAsia="仿宋"/>
          <w:color w:val="000000"/>
        </w:rPr>
      </w:pPr>
      <w:bookmarkStart w:id="123" w:name="_Toc10492"/>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22"/>
      <w:bookmarkEnd w:id="123"/>
    </w:p>
    <w:p w14:paraId="46734627">
      <w:pPr>
        <w:pStyle w:val="3"/>
        <w:rPr>
          <w:rFonts w:ascii="仿宋" w:hAnsi="仿宋" w:eastAsia="仿宋"/>
          <w:color w:val="000000"/>
        </w:rPr>
      </w:pPr>
      <w:bookmarkStart w:id="124" w:name="_Toc15396625"/>
      <w:bookmarkStart w:id="125" w:name="_Toc19384"/>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24"/>
      <w:bookmarkEnd w:id="125"/>
    </w:p>
    <w:p w14:paraId="29B84719">
      <w:pPr>
        <w:pStyle w:val="3"/>
        <w:rPr>
          <w:rFonts w:ascii="仿宋" w:hAnsi="仿宋" w:eastAsia="仿宋"/>
          <w:color w:val="000000"/>
        </w:rPr>
      </w:pPr>
      <w:bookmarkStart w:id="126" w:name="_Toc15396626"/>
      <w:bookmarkStart w:id="127" w:name="_Toc1337"/>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26"/>
      <w:bookmarkEnd w:id="127"/>
    </w:p>
    <w:p w14:paraId="79A481EA">
      <w:pPr>
        <w:pStyle w:val="3"/>
        <w:rPr>
          <w:rFonts w:ascii="仿宋" w:hAnsi="仿宋" w:eastAsia="仿宋"/>
          <w:color w:val="000000"/>
        </w:rPr>
      </w:pPr>
      <w:bookmarkStart w:id="128" w:name="_Toc15396627"/>
      <w:bookmarkStart w:id="129" w:name="_Toc26694"/>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28"/>
      <w:bookmarkEnd w:id="129"/>
    </w:p>
    <w:p w14:paraId="0B045DA8">
      <w:pPr>
        <w:pStyle w:val="3"/>
        <w:rPr>
          <w:rFonts w:ascii="仿宋" w:hAnsi="仿宋" w:eastAsia="仿宋"/>
          <w:color w:val="000000"/>
        </w:rPr>
      </w:pPr>
      <w:bookmarkStart w:id="130" w:name="_Toc15396628"/>
      <w:bookmarkStart w:id="131" w:name="_Toc29279"/>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30"/>
      <w:bookmarkEnd w:id="131"/>
    </w:p>
    <w:p w14:paraId="3F0914D0">
      <w:pPr>
        <w:pStyle w:val="3"/>
        <w:rPr>
          <w:rFonts w:ascii="仿宋" w:hAnsi="仿宋" w:eastAsia="仿宋"/>
          <w:color w:val="000000"/>
        </w:rPr>
      </w:pPr>
      <w:bookmarkStart w:id="132" w:name="_Toc15396629"/>
      <w:bookmarkStart w:id="133" w:name="_Toc21635"/>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32"/>
      <w:bookmarkEnd w:id="133"/>
    </w:p>
    <w:p w14:paraId="704BF15A">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DBE139D">
        <w:pPr>
          <w:pStyle w:val="8"/>
          <w:jc w:val="center"/>
        </w:pPr>
        <w:r>
          <w:fldChar w:fldCharType="begin"/>
        </w:r>
        <w:r>
          <w:instrText xml:space="preserve">PAGE   \* MERGEFORMAT</w:instrText>
        </w:r>
        <w:r>
          <w:fldChar w:fldCharType="separate"/>
        </w:r>
        <w:r>
          <w:rPr>
            <w:lang w:val="zh-CN"/>
          </w:rPr>
          <w:t>2</w:t>
        </w:r>
        <w:r>
          <w:fldChar w:fldCharType="end"/>
        </w:r>
      </w:p>
    </w:sdtContent>
  </w:sdt>
  <w:p w14:paraId="31FA252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E32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07942"/>
    <w:multiLevelType w:val="singleLevel"/>
    <w:tmpl w:val="EE607942"/>
    <w:lvl w:ilvl="0" w:tentative="0">
      <w:start w:val="1"/>
      <w:numFmt w:val="decimal"/>
      <w:lvlText w:val="%1."/>
      <w:lvlJc w:val="left"/>
      <w:pPr>
        <w:tabs>
          <w:tab w:val="left" w:pos="312"/>
        </w:tabs>
      </w:pPr>
    </w:lvl>
  </w:abstractNum>
  <w:abstractNum w:abstractNumId="1">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E55BF3"/>
    <w:multiLevelType w:val="multilevel"/>
    <w:tmpl w:val="7EE55BF3"/>
    <w:lvl w:ilvl="0" w:tentative="0">
      <w:start w:val="1"/>
      <w:numFmt w:val="chineseCountingThousand"/>
      <w:pStyle w:val="30"/>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0"/>
  </w:num>
  <w:num w:numId="3">
    <w:abstractNumId w:val="2"/>
    <w:lvlOverride w:ilvl="0">
      <w:startOverride w:val="1"/>
    </w:lvlOverride>
  </w:num>
  <w:num w:numId="4">
    <w:abstractNumId w:val="2"/>
    <w:lvlOverride w:ilvl="0">
      <w:startOverride w:val="1"/>
    </w:lvlOverride>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0501"/>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62EF"/>
    <w:rsid w:val="00DC20F4"/>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93769D4"/>
    <w:rsid w:val="10C055FF"/>
    <w:rsid w:val="16BB723D"/>
    <w:rsid w:val="187323EA"/>
    <w:rsid w:val="240371BF"/>
    <w:rsid w:val="29FD04D3"/>
    <w:rsid w:val="319F7F4E"/>
    <w:rsid w:val="46D34F7B"/>
    <w:rsid w:val="4ECE2238"/>
    <w:rsid w:val="584947F7"/>
    <w:rsid w:val="650E3045"/>
    <w:rsid w:val="71A02486"/>
    <w:rsid w:val="72734D90"/>
    <w:rsid w:val="79BD3F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2157.63</c:v>
                </c:pt>
                <c:pt idx="1">
                  <c:v>1842.1</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2721.63</c:v>
                </c:pt>
                <c:pt idx="1">
                  <c:v>2265.63</c:v>
                </c:pt>
              </c:numCache>
            </c:numRef>
          </c:val>
        </c:ser>
        <c:dLbls>
          <c:showLegendKey val="0"/>
          <c:showVal val="1"/>
          <c:showCatName val="0"/>
          <c:showSerName val="0"/>
          <c:showPercent val="0"/>
          <c:showBubbleSize val="0"/>
        </c:dLbls>
        <c:gapWidth val="219"/>
        <c:overlap val="-27"/>
        <c:axId val="104065664"/>
        <c:axId val="104067456"/>
      </c:barChart>
      <c:catAx>
        <c:axId val="104065664"/>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04067456"/>
        <c:crosses val="autoZero"/>
        <c:auto val="1"/>
        <c:lblAlgn val="ctr"/>
        <c:lblOffset val="100"/>
        <c:noMultiLvlLbl val="0"/>
      </c:catAx>
      <c:valAx>
        <c:axId val="10406745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040656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f2e20856-f0df-49ff-9e55-307b7fc0a20f}"/>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solidFill>
              <a:ln w="25400" cap="rnd">
                <a:noFill/>
                <a:prstDash val="solid"/>
                <a:round/>
              </a:ln>
              <a:effectLst/>
            </c:spPr>
          </c:dPt>
          <c:dPt>
            <c:idx val="5"/>
            <c:bubble3D val="0"/>
            <c:spPr>
              <a:solidFill>
                <a:srgbClr val="9BBB59">
                  <a:lumMod val="5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Pt>
            <c:idx val="8"/>
            <c:bubble3D val="0"/>
            <c:spPr>
              <a:solidFill>
                <a:srgbClr val="113251"/>
              </a:solidFill>
              <a:ln w="25400" cap="rnd">
                <a:noFill/>
                <a:prstDash val="solid"/>
                <a:round/>
              </a:ln>
              <a:effectLst/>
            </c:spPr>
          </c:dPt>
          <c:dPt>
            <c:idx val="9"/>
            <c:bubble3D val="0"/>
            <c:spPr>
              <a:solidFill>
                <a:srgbClr val="113251"/>
              </a:solidFill>
              <a:ln w="25400" cap="rnd">
                <a:noFill/>
                <a:prstDash val="solid"/>
                <a:round/>
              </a:ln>
              <a:effectLst/>
            </c:spPr>
          </c:dPt>
          <c:dPt>
            <c:idx val="10"/>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Sheet1!$B$2:$B$12</c:f>
              <c:numCache>
                <c:formatCode>General</c:formatCode>
                <c:ptCount val="11"/>
                <c:pt idx="0">
                  <c:v>1654.15</c:v>
                </c:pt>
                <c:pt idx="1">
                  <c:v>773.46</c:v>
                </c:pt>
                <c:pt idx="2">
                  <c:v>0</c:v>
                </c:pt>
                <c:pt idx="3">
                  <c:v>0</c:v>
                </c:pt>
                <c:pt idx="4">
                  <c:v>0</c:v>
                </c:pt>
                <c:pt idx="5">
                  <c:v>0</c:v>
                </c:pt>
                <c:pt idx="6">
                  <c:v>294.02</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egendEntry>
        <c:idx val="8"/>
        <c:delete val="1"/>
      </c:legendEntry>
      <c:legendEntry>
        <c:idx val="9"/>
        <c:delete val="1"/>
      </c:legendEntry>
      <c:legendEntry>
        <c:idx val="1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extLst>
      <c:ext uri="{0b15fc19-7d7d-44ad-8c2d-2c3a37ce22c3}">
        <chartProps xmlns="https://web.wps.cn/et/2018/main" chartId="{313559fb-c523-4c67-a8ae-7874c35184e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1F497D">
                  <a:lumMod val="60000"/>
                  <a:lumOff val="40000"/>
                </a:srgbClr>
              </a:solidFill>
              <a:ln w="25400" cap="rnd">
                <a:noFill/>
                <a:prstDash val="solid"/>
                <a:round/>
              </a:ln>
              <a:effectLst/>
            </c:spPr>
          </c:dPt>
          <c:dPt>
            <c:idx val="5"/>
            <c:bubble3D val="0"/>
            <c:spPr>
              <a:solidFill>
                <a:srgbClr val="113251"/>
              </a:solidFill>
              <a:ln w="25400" cap="rnd">
                <a:noFill/>
                <a:prstDash val="solid"/>
                <a:round/>
              </a:ln>
              <a:effectLst/>
            </c:spPr>
          </c:dPt>
          <c:dPt>
            <c:idx val="6"/>
            <c:bubble3D val="0"/>
            <c:spPr>
              <a:solidFill>
                <a:srgbClr val="113251"/>
              </a:solidFill>
              <a:ln w="25400" cap="rnd">
                <a:noFill/>
                <a:prstDash val="solid"/>
                <a:round/>
              </a:ln>
              <a:effectLst/>
            </c:spPr>
          </c:dPt>
          <c:dPt>
            <c:idx val="7"/>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Sheet1!$B$2:$B$9</c:f>
              <c:numCache>
                <c:formatCode>General</c:formatCode>
                <c:ptCount val="8"/>
                <c:pt idx="0">
                  <c:v>94.21</c:v>
                </c:pt>
                <c:pt idx="1">
                  <c:v>2171.43</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5"/>
        <c:delete val="1"/>
      </c:legendEntry>
      <c:legendEntry>
        <c:idx val="6"/>
        <c:delete val="1"/>
      </c:legendEntry>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extLst>
      <c:ext uri="{0b15fc19-7d7d-44ad-8c2d-2c3a37ce22c3}">
        <chartProps xmlns="https://web.wps.cn/et/2018/main" chartId="{88d6044c-401f-44cb-81cb-267728484bc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2153.36</c:v>
                </c:pt>
                <c:pt idx="1">
                  <c:v>1774.2</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2427.61</c:v>
                </c:pt>
                <c:pt idx="1">
                  <c:v>1949.83</c:v>
                </c:pt>
              </c:numCache>
            </c:numRef>
          </c:val>
        </c:ser>
        <c:dLbls>
          <c:showLegendKey val="0"/>
          <c:showVal val="1"/>
          <c:showCatName val="0"/>
          <c:showSerName val="0"/>
          <c:showPercent val="0"/>
          <c:showBubbleSize val="0"/>
        </c:dLbls>
        <c:gapWidth val="219"/>
        <c:overlap val="-27"/>
        <c:axId val="142736000"/>
        <c:axId val="163463552"/>
      </c:barChart>
      <c:catAx>
        <c:axId val="142736000"/>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63463552"/>
        <c:crosses val="autoZero"/>
        <c:auto val="1"/>
        <c:lblAlgn val="ctr"/>
        <c:lblOffset val="100"/>
        <c:noMultiLvlLbl val="0"/>
      </c:catAx>
      <c:valAx>
        <c:axId val="163463552"/>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427360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1bb6145e-daac-45cb-8036-98e0ee6a06b6}"/>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1743.55</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1582.03</c:v>
                </c:pt>
              </c:numCache>
            </c:numRef>
          </c:val>
        </c:ser>
        <c:dLbls>
          <c:showLegendKey val="0"/>
          <c:showVal val="1"/>
          <c:showCatName val="0"/>
          <c:showSerName val="0"/>
          <c:showPercent val="0"/>
          <c:showBubbleSize val="0"/>
        </c:dLbls>
        <c:gapWidth val="219"/>
        <c:overlap val="-27"/>
        <c:axId val="163486336"/>
        <c:axId val="165855616"/>
      </c:barChart>
      <c:catAx>
        <c:axId val="16348633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65855616"/>
        <c:crosses val="autoZero"/>
        <c:auto val="1"/>
        <c:lblAlgn val="ctr"/>
        <c:lblOffset val="100"/>
        <c:noMultiLvlLbl val="0"/>
      </c:catAx>
      <c:valAx>
        <c:axId val="16585561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63486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fe023881-1e73-41c8-ae9c-f3d627f5ed62}"/>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2019</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40000"/>
                  <a:lumOff val="60000"/>
                </a:srgbClr>
              </a:solidFill>
              <a:ln w="25400" cap="rnd">
                <a:noFill/>
                <a:prstDash val="solid"/>
                <a:round/>
              </a:ln>
              <a:effectLst/>
            </c:spPr>
          </c:dPt>
          <c:dPt>
            <c:idx val="5"/>
            <c:bubble3D val="0"/>
            <c:spPr>
              <a:solidFill>
                <a:srgbClr val="9BBB59">
                  <a:lumMod val="50000"/>
                </a:srgbClr>
              </a:solidFill>
              <a:ln w="25400" cap="rnd">
                <a:noFill/>
                <a:prstDash val="solid"/>
                <a:round/>
              </a:ln>
              <a:effectLst/>
            </c:spPr>
          </c:dPt>
          <c:dPt>
            <c:idx val="6"/>
            <c:bubble3D val="0"/>
            <c:spPr>
              <a:solidFill>
                <a:srgbClr val="F79646">
                  <a:lumMod val="40000"/>
                  <a:lumOff val="60000"/>
                </a:srgbClr>
              </a:solidFill>
              <a:ln w="25400" cap="rnd">
                <a:noFill/>
                <a:prstDash val="solid"/>
                <a:round/>
              </a:ln>
              <a:effectLst/>
            </c:spPr>
          </c:dPt>
          <c:dPt>
            <c:idx val="7"/>
            <c:bubble3D val="0"/>
            <c:spPr>
              <a:solidFill>
                <a:srgbClr val="F79646">
                  <a:lumMod val="75000"/>
                </a:srgbClr>
              </a:solidFill>
              <a:ln w="25400" cap="rnd">
                <a:noFill/>
                <a:prstDash val="solid"/>
                <a:round/>
              </a:ln>
              <a:effectLst/>
            </c:spPr>
          </c:dPt>
          <c:dPt>
            <c:idx val="8"/>
            <c:bubble3D val="0"/>
            <c:spPr>
              <a:solidFill>
                <a:srgbClr val="8064A2">
                  <a:lumMod val="40000"/>
                  <a:lumOff val="60000"/>
                </a:srgbClr>
              </a:solidFill>
              <a:ln w="25400" cap="rnd">
                <a:noFill/>
                <a:prstDash val="solid"/>
                <a:round/>
              </a:ln>
              <a:effectLst/>
            </c:spPr>
          </c:dPt>
          <c:dPt>
            <c:idx val="9"/>
            <c:bubble3D val="0"/>
            <c:spPr>
              <a:solidFill>
                <a:srgbClr val="8064A2">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Sheet1!$A$2:$A$11</c:f>
              <c:strCache>
                <c:ptCount val="10"/>
                <c:pt idx="0">
                  <c:v>一般公共服务支出</c:v>
                </c:pt>
                <c:pt idx="1">
                  <c:v>教育支出</c:v>
                </c:pt>
                <c:pt idx="2">
                  <c:v>农林水支出</c:v>
                </c:pt>
                <c:pt idx="3">
                  <c:v>文化旅游体育与传媒支出</c:v>
                </c:pt>
                <c:pt idx="4">
                  <c:v>社会保障和就业支出</c:v>
                </c:pt>
                <c:pt idx="5">
                  <c:v>卫生健康支出</c:v>
                </c:pt>
                <c:pt idx="6">
                  <c:v>城乡社区支出</c:v>
                </c:pt>
                <c:pt idx="7">
                  <c:v>金融支出</c:v>
                </c:pt>
                <c:pt idx="8">
                  <c:v>灾害防治及应急管理支出</c:v>
                </c:pt>
                <c:pt idx="9">
                  <c:v>城乡社区支出</c:v>
                </c:pt>
              </c:strCache>
            </c:strRef>
          </c:cat>
          <c:val>
            <c:numRef>
              <c:f>Sheet1!$B$2:$B$11</c:f>
              <c:numCache>
                <c:formatCode>General</c:formatCode>
                <c:ptCount val="10"/>
                <c:pt idx="0">
                  <c:v>178.11</c:v>
                </c:pt>
                <c:pt idx="1">
                  <c:v>430.56</c:v>
                </c:pt>
                <c:pt idx="2">
                  <c:v>150.83</c:v>
                </c:pt>
                <c:pt idx="3">
                  <c:v>7.1</c:v>
                </c:pt>
                <c:pt idx="4">
                  <c:v>210.7</c:v>
                </c:pt>
                <c:pt idx="5">
                  <c:v>487.78</c:v>
                </c:pt>
                <c:pt idx="6">
                  <c:v>1.32</c:v>
                </c:pt>
                <c:pt idx="7">
                  <c:v>100.06</c:v>
                </c:pt>
                <c:pt idx="8">
                  <c:v>15.57</c:v>
                </c:pt>
                <c:pt idx="9">
                  <c:v>1.32</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Sheet1!$A$2:$A$11</c:f>
              <c:strCache>
                <c:ptCount val="10"/>
                <c:pt idx="0">
                  <c:v>一般公共服务支出</c:v>
                </c:pt>
                <c:pt idx="1">
                  <c:v>教育支出</c:v>
                </c:pt>
                <c:pt idx="2">
                  <c:v>农林水支出</c:v>
                </c:pt>
                <c:pt idx="3">
                  <c:v>文化旅游体育与传媒支出</c:v>
                </c:pt>
                <c:pt idx="4">
                  <c:v>社会保障和就业支出</c:v>
                </c:pt>
                <c:pt idx="5">
                  <c:v>卫生健康支出</c:v>
                </c:pt>
                <c:pt idx="6">
                  <c:v>城乡社区支出</c:v>
                </c:pt>
                <c:pt idx="7">
                  <c:v>金融支出</c:v>
                </c:pt>
                <c:pt idx="8">
                  <c:v>灾害防治及应急管理支出</c:v>
                </c:pt>
                <c:pt idx="9">
                  <c:v>城乡社区支出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Sheet1!$A$2:$A$11</c:f>
              <c:strCache>
                <c:ptCount val="10"/>
                <c:pt idx="0">
                  <c:v>一般公共服务支出</c:v>
                </c:pt>
                <c:pt idx="1">
                  <c:v>教育支出</c:v>
                </c:pt>
                <c:pt idx="2">
                  <c:v>农林水支出</c:v>
                </c:pt>
                <c:pt idx="3">
                  <c:v>文化旅游体育与传媒支出</c:v>
                </c:pt>
                <c:pt idx="4">
                  <c:v>社会保障和就业支出</c:v>
                </c:pt>
                <c:pt idx="5">
                  <c:v>卫生健康支出</c:v>
                </c:pt>
                <c:pt idx="6">
                  <c:v>城乡社区支出</c:v>
                </c:pt>
                <c:pt idx="7">
                  <c:v>金融支出</c:v>
                </c:pt>
                <c:pt idx="8">
                  <c:v>灾害防治及应急管理支出</c:v>
                </c:pt>
                <c:pt idx="9">
                  <c:v>城乡社区支出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extLst>
      <c:ext uri="{0b15fc19-7d7d-44ad-8c2d-2c3a37ce22c3}">
        <chartProps xmlns="https://web.wps.cn/et/2018/main" chartId="{432f54d3-ab1b-4fe2-adb2-8eb379b2928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1F497D">
                  <a:lumMod val="60000"/>
                  <a:lumOff val="40000"/>
                </a:srgbClr>
              </a:solidFill>
              <a:ln w="25400" cap="rnd">
                <a:noFill/>
                <a:prstDash val="solid"/>
                <a:round/>
              </a:ln>
              <a:effectLst/>
            </c:spPr>
          </c:dPt>
          <c:dPt>
            <c:idx val="5"/>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Sheet1!$B$2:$B$7</c:f>
              <c:numCache>
                <c:formatCode>General</c:formatCode>
                <c:ptCount val="6"/>
                <c:pt idx="0">
                  <c:v>0</c:v>
                </c:pt>
                <c:pt idx="1">
                  <c:v>0</c:v>
                </c:pt>
                <c:pt idx="2">
                  <c:v>0.42</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legendEntry>
        <c:idx val="5"/>
        <c:delete val="1"/>
      </c:legendEntry>
      <c:layout>
        <c:manualLayout>
          <c:xMode val="edge"/>
          <c:yMode val="edge"/>
          <c:x val="0.111605670952852"/>
          <c:y val="0.834214501510574"/>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extLst>
      <c:ext uri="{0b15fc19-7d7d-44ad-8c2d-2c3a37ce22c3}">
        <chartProps xmlns="https://web.wps.cn/et/2018/main" chartId="{c34c663a-d55d-4497-ab40-865f3ff9d43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2E3A-5E1C-441D-BADD-753535929D6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8723</Words>
  <Characters>10185</Characters>
  <Lines>117</Lines>
  <Paragraphs>33</Paragraphs>
  <TotalTime>13</TotalTime>
  <ScaleCrop>false</ScaleCrop>
  <LinksUpToDate>false</LinksUpToDate>
  <CharactersWithSpaces>10336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2020-07-23T02:58:00Z</cp:lastPrinted>
  <dcterms:modified xsi:type="dcterms:W3CDTF">2024-12-18T07:18:22Z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B8160C408BA5440495235D3C5BA7E619_12</vt:lpwstr>
  </property>
</Properties>
</file>