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黑体" w:hAnsi="黑体" w:eastAsia="黑体"/>
          <w:color w:val="000000"/>
          <w:sz w:val="72"/>
          <w:szCs w:val="72"/>
        </w:rPr>
      </w:pPr>
      <w:bookmarkStart w:id="1" w:name="_Toc8458"/>
      <w:bookmarkStart w:id="2" w:name="_Toc15377425"/>
      <w:bookmarkStart w:id="3" w:name="_Toc15378441"/>
      <w:bookmarkStart w:id="4" w:name="_Toc15377193"/>
      <w:bookmarkStart w:id="5" w:name="_Toc15396597"/>
      <w:bookmarkStart w:id="6" w:name="_Toc15396475"/>
      <w:bookmarkStart w:id="7" w:name="_Toc30021"/>
      <w:bookmarkStart w:id="8" w:name="_Toc22692"/>
      <w:bookmarkStart w:id="9" w:name="_Toc3022"/>
      <w:r>
        <w:rPr>
          <w:rFonts w:hint="eastAsia" w:ascii="黑体" w:hAnsi="黑体" w:eastAsia="黑体"/>
          <w:color w:val="000000"/>
          <w:sz w:val="72"/>
          <w:szCs w:val="72"/>
        </w:rPr>
        <w:t>2019年度</w:t>
      </w:r>
      <w:bookmarkEnd w:id="1"/>
      <w:bookmarkEnd w:id="2"/>
      <w:bookmarkEnd w:id="3"/>
      <w:bookmarkEnd w:id="4"/>
      <w:bookmarkEnd w:id="5"/>
      <w:bookmarkEnd w:id="6"/>
      <w:bookmarkEnd w:id="7"/>
      <w:bookmarkEnd w:id="8"/>
      <w:bookmarkStart w:id="10" w:name="_Toc15378442"/>
      <w:bookmarkStart w:id="11" w:name="_Toc15377194"/>
      <w:bookmarkStart w:id="12" w:name="_Toc15396476"/>
      <w:bookmarkStart w:id="13" w:name="_Toc15377426"/>
      <w:bookmarkStart w:id="14" w:name="_Toc20723"/>
      <w:bookmarkStart w:id="15" w:name="_Toc2407"/>
      <w:bookmarkStart w:id="16" w:name="_Toc15396598"/>
    </w:p>
    <w:p>
      <w:pPr>
        <w:adjustRightInd w:val="0"/>
        <w:snapToGrid w:val="0"/>
        <w:spacing w:line="360" w:lineRule="auto"/>
        <w:jc w:val="center"/>
        <w:outlineLvl w:val="0"/>
        <w:rPr>
          <w:rFonts w:hint="eastAsia" w:ascii="黑体" w:hAnsi="黑体" w:eastAsia="黑体"/>
          <w:color w:val="000000"/>
          <w:sz w:val="72"/>
          <w:szCs w:val="72"/>
          <w:lang w:eastAsia="zh-CN"/>
        </w:rPr>
      </w:pPr>
      <w:bookmarkStart w:id="17" w:name="_Toc19183"/>
      <w:r>
        <w:rPr>
          <w:rFonts w:hint="eastAsia" w:ascii="黑体" w:hAnsi="黑体" w:eastAsia="黑体"/>
          <w:color w:val="000000"/>
          <w:sz w:val="72"/>
          <w:szCs w:val="72"/>
        </w:rPr>
        <w:t>四川省</w:t>
      </w:r>
      <w:bookmarkEnd w:id="0"/>
      <w:bookmarkStart w:id="18" w:name="_Toc15306268"/>
      <w:r>
        <w:rPr>
          <w:rFonts w:hint="eastAsia" w:ascii="黑体" w:hAnsi="黑体" w:eastAsia="黑体"/>
          <w:color w:val="000000"/>
          <w:sz w:val="72"/>
          <w:szCs w:val="72"/>
          <w:lang w:eastAsia="zh-CN"/>
        </w:rPr>
        <w:t>乐山市中共乐山高新技术产业开发区工作委员会党群工作部</w:t>
      </w:r>
      <w:bookmarkEnd w:id="17"/>
    </w:p>
    <w:p>
      <w:pPr>
        <w:adjustRightInd w:val="0"/>
        <w:snapToGrid w:val="0"/>
        <w:spacing w:line="360" w:lineRule="auto"/>
        <w:jc w:val="center"/>
        <w:outlineLvl w:val="0"/>
        <w:rPr>
          <w:rFonts w:hint="eastAsia" w:ascii="黑体" w:hAnsi="黑体" w:eastAsia="黑体"/>
          <w:color w:val="000000"/>
          <w:sz w:val="72"/>
          <w:szCs w:val="72"/>
        </w:rPr>
      </w:pPr>
      <w:bookmarkStart w:id="19" w:name="_Toc3476"/>
      <w:r>
        <w:rPr>
          <w:rFonts w:hint="eastAsia" w:ascii="黑体" w:hAnsi="黑体" w:eastAsia="黑体"/>
          <w:color w:val="000000"/>
          <w:sz w:val="72"/>
          <w:szCs w:val="72"/>
        </w:rPr>
        <w:t>部门决算</w:t>
      </w:r>
      <w:bookmarkEnd w:id="9"/>
      <w:bookmarkEnd w:id="10"/>
      <w:bookmarkEnd w:id="11"/>
      <w:bookmarkEnd w:id="12"/>
      <w:bookmarkEnd w:id="13"/>
      <w:bookmarkEnd w:id="14"/>
      <w:bookmarkEnd w:id="15"/>
      <w:bookmarkEnd w:id="16"/>
      <w:bookmarkEnd w:id="18"/>
      <w:bookmarkEnd w:id="19"/>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outlineLvl w:val="0"/>
      </w:pPr>
      <w:bookmarkStart w:id="20" w:name="_Toc12908"/>
      <w:bookmarkStart w:id="21" w:name="_Toc2265"/>
      <w:bookmarkStart w:id="22" w:name="_Toc2854"/>
      <w:bookmarkStart w:id="23" w:name="_Toc30634"/>
      <w:r>
        <w:rPr>
          <w:rFonts w:hint="eastAsia"/>
        </w:rPr>
        <w:t>公开时间：2020年9月</w:t>
      </w:r>
      <w:r>
        <w:rPr>
          <w:rFonts w:hint="eastAsia"/>
          <w:lang w:val="en-US" w:eastAsia="zh-CN"/>
        </w:rPr>
        <w:t xml:space="preserve"> 23 </w:t>
      </w:r>
      <w:r>
        <w:rPr>
          <w:rFonts w:hint="eastAsia"/>
        </w:rPr>
        <w:t>日</w:t>
      </w:r>
      <w:bookmarkEnd w:id="20"/>
      <w:bookmarkEnd w:id="21"/>
      <w:bookmarkEnd w:id="22"/>
      <w:bookmarkEnd w:id="23"/>
    </w:p>
    <w:sdt>
      <w:sdtPr>
        <w:rPr>
          <w:rFonts w:ascii="宋体" w:hAnsi="宋体" w:eastAsia="宋体" w:cs="Times New Roman"/>
          <w:kern w:val="2"/>
          <w:sz w:val="21"/>
          <w:szCs w:val="24"/>
          <w:lang w:val="en-US" w:eastAsia="zh-CN" w:bidi="ar-SA"/>
        </w:rPr>
        <w:id w:val="147473704"/>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kern w:val="2"/>
              <w:sz w:val="28"/>
              <w:szCs w:val="28"/>
              <w:lang w:val="en-US" w:eastAsia="zh-CN" w:bidi="ar-SA"/>
            </w:rPr>
          </w:pPr>
          <w:bookmarkStart w:id="24" w:name="_Toc15377196"/>
          <w:bookmarkStart w:id="25" w:name="_Toc15396599"/>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第一部分 </w:t>
          </w:r>
          <w:r>
            <w:rPr>
              <w:rFonts w:hint="eastAsia" w:ascii="仿宋" w:hAnsi="仿宋" w:eastAsia="仿宋" w:cs="仿宋"/>
              <w:bCs w:val="0"/>
              <w:sz w:val="28"/>
              <w:szCs w:val="28"/>
            </w:rPr>
            <w:t>部门概况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 </w:instrText>
          </w:r>
          <w:r>
            <w:rPr>
              <w:rFonts w:hint="eastAsia" w:ascii="仿宋" w:hAnsi="仿宋" w:eastAsia="仿宋" w:cs="仿宋"/>
              <w:sz w:val="28"/>
              <w:szCs w:val="28"/>
            </w:rPr>
            <w:fldChar w:fldCharType="separate"/>
          </w:r>
          <w:r>
            <w:rPr>
              <w:rFonts w:hint="eastAsia" w:ascii="仿宋" w:hAnsi="仿宋" w:eastAsia="仿宋" w:cs="仿宋"/>
              <w:sz w:val="28"/>
              <w:szCs w:val="28"/>
            </w:rPr>
            <w:t>一、基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_Toc5728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_Toc5728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_Toc26502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第二部分 </w:t>
          </w:r>
          <w:r>
            <w:rPr>
              <w:rFonts w:hint="eastAsia" w:ascii="仿宋" w:hAnsi="仿宋" w:eastAsia="仿宋" w:cs="仿宋"/>
              <w:bCs w:val="0"/>
              <w:sz w:val="28"/>
              <w:szCs w:val="28"/>
            </w:rPr>
            <w:t>2019年度部门决算情况说明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_Toc26502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_Toc2023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_Toc2023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_Toc22522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_Toc22522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_Toc19984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_Toc19984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_Toc2832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_Toc16308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_Toc16308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_Toc17033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_Toc17033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_Toc27833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_Toc27833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_Toc22350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_Toc6291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_Toc6291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_Toc23659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_Toc23659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_Toc6620 </w:instrText>
          </w:r>
          <w:r>
            <w:rPr>
              <w:rFonts w:hint="eastAsia" w:ascii="仿宋" w:hAnsi="仿宋" w:eastAsia="仿宋" w:cs="仿宋"/>
              <w:sz w:val="28"/>
              <w:szCs w:val="28"/>
            </w:rPr>
            <w:fldChar w:fldCharType="separate"/>
          </w:r>
          <w:r>
            <w:rPr>
              <w:rFonts w:hint="eastAsia" w:ascii="仿宋" w:hAnsi="仿宋" w:eastAsia="仿宋" w:cs="仿宋"/>
              <w:sz w:val="28"/>
              <w:szCs w:val="28"/>
            </w:rPr>
            <w:t>第三部分 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_Toc6620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_Toc9931 </w:instrText>
          </w:r>
          <w:r>
            <w:rPr>
              <w:rFonts w:hint="eastAsia" w:ascii="仿宋" w:hAnsi="仿宋" w:eastAsia="仿宋" w:cs="仿宋"/>
              <w:sz w:val="28"/>
              <w:szCs w:val="28"/>
            </w:rPr>
            <w:fldChar w:fldCharType="separate"/>
          </w:r>
          <w:r>
            <w:rPr>
              <w:rFonts w:hint="eastAsia" w:ascii="仿宋" w:hAnsi="仿宋" w:eastAsia="仿宋" w:cs="仿宋"/>
              <w:sz w:val="28"/>
              <w:szCs w:val="28"/>
            </w:rPr>
            <w:t>第四部分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_Toc9931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_Toc20395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_Toc20395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_Toc18356 </w:instrText>
          </w:r>
          <w:r>
            <w:rPr>
              <w:rFonts w:hint="eastAsia" w:ascii="仿宋" w:hAnsi="仿宋" w:eastAsia="仿宋" w:cs="仿宋"/>
              <w:sz w:val="28"/>
              <w:szCs w:val="28"/>
            </w:rP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_Toc18356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第五部分 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_Toc8843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_Toc14433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_Toc14433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_Toc30274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_Toc30274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_Toc10023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_Toc10023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_Toc23245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_Toc6921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_Toc6921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_Toc32315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_Toc32315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_Toc2217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_Toc11844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_Toc11844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_Toc3057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_Toc28636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一</w:t>
          </w:r>
          <w:r>
            <w:rPr>
              <w:rFonts w:hint="eastAsia" w:ascii="仿宋" w:hAnsi="仿宋" w:eastAsia="仿宋" w:cs="仿宋"/>
              <w:bCs w:val="0"/>
              <w:sz w:val="28"/>
              <w:szCs w:val="28"/>
            </w:rPr>
            <w:t>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_Toc28636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_Toc21493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_Toc21493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_Toc9229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_Toc9229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_Toc31439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w:t>
          </w:r>
          <w:r>
            <w:rPr>
              <w:rFonts w:hint="eastAsia" w:ascii="仿宋" w:hAnsi="仿宋" w:eastAsia="仿宋" w:cs="仿宋"/>
              <w:sz w:val="28"/>
              <w:szCs w:val="28"/>
            </w:rPr>
            <w:t>国</w:t>
          </w:r>
          <w:r>
            <w:rPr>
              <w:rFonts w:hint="eastAsia" w:ascii="仿宋" w:hAnsi="仿宋" w:eastAsia="仿宋" w:cs="仿宋"/>
              <w:bCs w:val="0"/>
              <w:sz w:val="28"/>
              <w:szCs w:val="28"/>
            </w:rPr>
            <w:t>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_Toc31439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before="0" w:beforeLines="0" w:after="0" w:afterLines="0" w:line="240" w:lineRule="auto"/>
            <w:ind w:left="0" w:leftChars="0" w:right="0" w:rightChars="0" w:firstLine="0" w:firstLineChars="0"/>
            <w:jc w:val="cente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bookmarkStart w:id="26" w:name="_Toc216"/>
      <w:r>
        <w:rPr>
          <w:rFonts w:hint="eastAsia" w:ascii="黑体" w:hAnsi="黑体" w:eastAsia="黑体"/>
          <w:b w:val="0"/>
        </w:rPr>
        <w:t xml:space="preserve">第一部分 </w:t>
      </w:r>
      <w:r>
        <w:rPr>
          <w:rStyle w:val="24"/>
          <w:rFonts w:hint="eastAsia" w:ascii="黑体" w:hAnsi="黑体" w:eastAsia="黑体"/>
          <w:b w:val="0"/>
          <w:bCs w:val="0"/>
        </w:rPr>
        <w:t>部门概况</w:t>
      </w:r>
      <w:bookmarkEnd w:id="24"/>
      <w:bookmarkEnd w:id="25"/>
      <w:bookmarkEnd w:id="26"/>
    </w:p>
    <w:p>
      <w:pPr>
        <w:widowControl/>
        <w:jc w:val="left"/>
        <w:rPr>
          <w:rFonts w:ascii="黑体" w:eastAsia="黑体"/>
          <w:color w:val="000000"/>
          <w:sz w:val="32"/>
          <w:szCs w:val="32"/>
        </w:rPr>
      </w:pPr>
    </w:p>
    <w:p>
      <w:pPr>
        <w:pStyle w:val="3"/>
        <w:rPr>
          <w:rStyle w:val="25"/>
          <w:rFonts w:ascii="仿宋" w:hAnsi="仿宋" w:eastAsia="仿宋"/>
          <w:b w:val="0"/>
          <w:bCs w:val="0"/>
        </w:rPr>
      </w:pPr>
      <w:bookmarkStart w:id="27" w:name="_Toc15377197"/>
      <w:bookmarkStart w:id="28" w:name="_Toc290"/>
      <w:bookmarkStart w:id="29"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27"/>
      <w:bookmarkEnd w:id="28"/>
      <w:bookmarkEnd w:id="29"/>
    </w:p>
    <w:p>
      <w:pPr>
        <w:pStyle w:val="5"/>
        <w:bidi w:val="0"/>
        <w:outlineLvl w:val="2"/>
        <w:rPr>
          <w:rFonts w:hint="eastAsia" w:ascii="仿宋" w:hAnsi="仿宋" w:eastAsia="仿宋" w:cs="仿宋"/>
          <w:sz w:val="32"/>
          <w:szCs w:val="32"/>
        </w:rPr>
      </w:pPr>
      <w:bookmarkStart w:id="30" w:name="_Toc15378445"/>
      <w:bookmarkStart w:id="31" w:name="_Toc15377198"/>
      <w:r>
        <w:rPr>
          <w:rFonts w:hint="eastAsia" w:ascii="仿宋" w:hAnsi="仿宋" w:eastAsia="仿宋" w:cs="仿宋"/>
          <w:sz w:val="32"/>
          <w:szCs w:val="32"/>
        </w:rPr>
        <w:t>（一）主要职能。</w:t>
      </w:r>
      <w:bookmarkEnd w:id="30"/>
      <w:bookmarkEnd w:id="31"/>
    </w:p>
    <w:p>
      <w:pPr>
        <w:pStyle w:val="5"/>
        <w:bidi w:val="0"/>
        <w:ind w:firstLine="640" w:firstLineChars="200"/>
        <w:rPr>
          <w:rFonts w:hint="eastAsia" w:ascii="仿宋" w:hAnsi="仿宋" w:eastAsia="仿宋" w:cs="仿宋"/>
          <w:sz w:val="32"/>
          <w:szCs w:val="32"/>
        </w:rPr>
      </w:pPr>
      <w:r>
        <w:rPr>
          <w:rFonts w:hint="eastAsia" w:ascii="仿宋" w:hAnsi="仿宋" w:eastAsia="仿宋" w:cs="仿宋"/>
          <w:sz w:val="32"/>
          <w:szCs w:val="32"/>
        </w:rPr>
        <w:t>负责辖区内基层党组织建设和党员思想教育、管理与发展工作；负责干部队伍建设管理、教育、培训工作；负责指导、协调园区人才开发工作；负责机构编制、人事管理工作；负责宣传思想、意识形态和精神文明建设工作；负责政治体系建设、意识形态等方面的工作；负责统战、侨务、台湾事务工作；负责劳动和社会保障、就业服务管理工作；负责老干部工作；指导工会、共青团、妇联工作。承担党工委、管委会交办的其他工作任务。</w:t>
      </w:r>
    </w:p>
    <w:p>
      <w:pPr>
        <w:pStyle w:val="5"/>
        <w:bidi w:val="0"/>
        <w:outlineLvl w:val="2"/>
        <w:rPr>
          <w:rFonts w:hint="eastAsia" w:ascii="仿宋" w:hAnsi="仿宋" w:eastAsia="仿宋" w:cs="仿宋"/>
          <w:sz w:val="32"/>
          <w:szCs w:val="32"/>
        </w:rPr>
      </w:pPr>
      <w:bookmarkStart w:id="32" w:name="_Toc15377199"/>
      <w:bookmarkStart w:id="33" w:name="_Toc15378446"/>
      <w:r>
        <w:rPr>
          <w:rFonts w:hint="eastAsia" w:ascii="仿宋" w:hAnsi="仿宋" w:eastAsia="仿宋" w:cs="仿宋"/>
          <w:sz w:val="32"/>
          <w:szCs w:val="32"/>
        </w:rPr>
        <w:t>（二）2019年重点工作完成情况。</w:t>
      </w:r>
      <w:bookmarkEnd w:id="32"/>
      <w:bookmarkEnd w:id="33"/>
    </w:p>
    <w:p>
      <w:pPr>
        <w:pStyle w:val="5"/>
        <w:bidi w:val="0"/>
        <w:ind w:firstLine="640" w:firstLineChars="200"/>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SA"/>
        </w:rPr>
        <w:t>1</w:t>
      </w:r>
      <w:r>
        <w:rPr>
          <w:rFonts w:hint="eastAsia" w:ascii="仿宋" w:hAnsi="仿宋" w:eastAsia="仿宋" w:cs="仿宋"/>
          <w:sz w:val="32"/>
          <w:szCs w:val="32"/>
          <w:lang w:val="en-US" w:eastAsia="zh-CN"/>
        </w:rPr>
        <w:t>.完成基层党组织建设。2.完成干部教育培训工作，增强干部教育培训的针对性和实效性。3.全面推进公共就业服务信息化应用试点工作。4.做好就业精准扶贫工作，政策宣传、落实到位，继续开展贫困劳动力技能培训。5.做好全区劳动关系、劳动保障监察和劳动人事争议调解仲裁工作</w:t>
      </w:r>
    </w:p>
    <w:p>
      <w:pPr>
        <w:pStyle w:val="3"/>
        <w:rPr>
          <w:rStyle w:val="25"/>
          <w:b w:val="0"/>
          <w:bCs w:val="0"/>
        </w:rPr>
      </w:pPr>
      <w:bookmarkStart w:id="34" w:name="_Toc5728"/>
      <w:bookmarkStart w:id="35" w:name="_Toc15396601"/>
      <w:bookmarkStart w:id="36"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34"/>
      <w:bookmarkEnd w:id="35"/>
      <w:bookmarkEnd w:id="36"/>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中共乐山高新技术产业开发区工作委员会党群工作部</w:t>
      </w:r>
      <w:r>
        <w:rPr>
          <w:rFonts w:hint="eastAsia" w:ascii="仿宋" w:hAnsi="仿宋" w:eastAsia="仿宋" w:cs="仿宋"/>
          <w:sz w:val="32"/>
          <w:szCs w:val="32"/>
          <w:lang w:val="en-US" w:eastAsia="zh-CN"/>
        </w:rPr>
        <w:t>（以下简称：党群工作部）</w:t>
      </w:r>
      <w:r>
        <w:rPr>
          <w:rFonts w:hint="eastAsia" w:ascii="仿宋" w:hAnsi="仿宋" w:eastAsia="仿宋" w:cs="仿宋"/>
          <w:kern w:val="0"/>
          <w:sz w:val="32"/>
          <w:szCs w:val="32"/>
          <w:lang w:val="en-US" w:eastAsia="zh-CN" w:bidi="ar-SA"/>
        </w:rPr>
        <w:t>是管委会内设职能机构，为全额经费拨款单位</w:t>
      </w:r>
      <w:r>
        <w:rPr>
          <w:rFonts w:hint="eastAsia" w:ascii="仿宋" w:hAnsi="仿宋" w:eastAsia="仿宋" w:cs="仿宋"/>
          <w:sz w:val="32"/>
          <w:szCs w:val="32"/>
          <w:lang w:val="en-US" w:eastAsia="zh-CN"/>
        </w:rPr>
        <w:t>，下属二级预算单位0个，其中行政单位0个，参照公务员法管理的事业单位0个，其他事业单位0个。</w:t>
      </w:r>
    </w:p>
    <w:p>
      <w:pPr>
        <w:pStyle w:val="5"/>
        <w:adjustRightInd w:val="0"/>
        <w:snapToGrid w:val="0"/>
        <w:spacing w:before="93" w:line="600" w:lineRule="exac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37" w:name="_Toc26502"/>
      <w:bookmarkStart w:id="38" w:name="_Toc15396602"/>
      <w:bookmarkStart w:id="3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37"/>
      <w:bookmarkEnd w:id="38"/>
      <w:bookmarkEnd w:id="39"/>
    </w:p>
    <w:p/>
    <w:p>
      <w:pPr>
        <w:pStyle w:val="23"/>
        <w:numPr>
          <w:ilvl w:val="0"/>
          <w:numId w:val="4"/>
        </w:numPr>
        <w:spacing w:line="600" w:lineRule="exact"/>
        <w:ind w:firstLineChars="0"/>
        <w:outlineLvl w:val="1"/>
        <w:rPr>
          <w:rStyle w:val="25"/>
          <w:rFonts w:ascii="黑体" w:hAnsi="黑体" w:eastAsia="黑体"/>
          <w:b w:val="0"/>
        </w:rPr>
      </w:pPr>
      <w:bookmarkStart w:id="40" w:name="_Toc2023"/>
      <w:bookmarkStart w:id="41" w:name="_Toc15396603"/>
      <w:bookmarkStart w:id="42"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40"/>
      <w:bookmarkEnd w:id="41"/>
      <w:bookmarkEnd w:id="42"/>
    </w:p>
    <w:p>
      <w:pPr>
        <w:pStyle w:val="5"/>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度收入489.57万元、年初结转和结余2.53万元，支出403.39万元，年末结转结余88.72万元。与2018年相比，收入增加217.58万元，增长80%，主要变动原因是增加征地农转非人员医疗保险项目和村级集体经济补助项目；支出增加133.95万元，增长49.71%，主要变动原因是增加征地农转非人员医疗保险项目。</w:t>
      </w:r>
    </w:p>
    <w:p>
      <w:pPr>
        <w:pStyle w:val="5"/>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（图1：收、支决算变动情况图）（柱状图）（单位：万元）</w:t>
      </w:r>
    </w:p>
    <w:p>
      <w:pPr>
        <w:spacing w:line="600" w:lineRule="exact"/>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59264" behindDoc="1" locked="0" layoutInCell="1" allowOverlap="1">
            <wp:simplePos x="0" y="0"/>
            <wp:positionH relativeFrom="column">
              <wp:posOffset>93980</wp:posOffset>
            </wp:positionH>
            <wp:positionV relativeFrom="paragraph">
              <wp:posOffset>120650</wp:posOffset>
            </wp:positionV>
            <wp:extent cx="5016500" cy="3492500"/>
            <wp:effectExtent l="5080" t="4445" r="7620" b="8255"/>
            <wp:wrapTight wrapText="bothSides">
              <wp:wrapPolygon>
                <wp:start x="-22" y="-27"/>
                <wp:lineTo x="-22" y="21533"/>
                <wp:lineTo x="21551" y="21533"/>
                <wp:lineTo x="21551" y="-27"/>
                <wp:lineTo x="-22" y="-2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3"/>
        <w:numPr>
          <w:ilvl w:val="0"/>
          <w:numId w:val="4"/>
        </w:numPr>
        <w:spacing w:line="600" w:lineRule="exact"/>
        <w:ind w:firstLineChars="0"/>
        <w:outlineLvl w:val="1"/>
        <w:rPr>
          <w:rStyle w:val="25"/>
          <w:rFonts w:ascii="黑体" w:hAnsi="黑体" w:eastAsia="黑体"/>
          <w:b w:val="0"/>
        </w:rPr>
      </w:pPr>
      <w:bookmarkStart w:id="43" w:name="_Toc22522"/>
      <w:bookmarkStart w:id="44" w:name="_Toc15396604"/>
      <w:bookmarkStart w:id="45"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43"/>
      <w:bookmarkEnd w:id="44"/>
      <w:bookmarkEnd w:id="45"/>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2019年本年收入合计489.57万元，其中：一般公共预算财政拨款收入382.4万元，占78.11%；政府性基金预算财政拨款收入107.17万元，占21.89%。</w:t>
      </w:r>
    </w:p>
    <w:p>
      <w:pPr>
        <w:spacing w:line="600" w:lineRule="exact"/>
        <w:ind w:firstLine="640" w:firstLineChars="200"/>
        <w:rPr>
          <w:rFonts w:hint="eastAsia" w:asciiTheme="minorEastAsia" w:hAnsiTheme="minorEastAsia" w:eastAsiaTheme="minorEastAsia" w:cstheme="minorEastAsia"/>
          <w:color w:val="000000"/>
          <w:sz w:val="28"/>
          <w:szCs w:val="28"/>
        </w:rPr>
      </w:pPr>
      <w:r>
        <w:rPr>
          <w:rFonts w:hint="eastAsia" w:ascii="仿宋" w:hAnsi="仿宋" w:eastAsia="仿宋" w:cs="仿宋"/>
          <w:color w:val="FF0000"/>
          <w:sz w:val="32"/>
          <w:szCs w:val="32"/>
          <w:lang w:eastAsia="zh-CN"/>
        </w:rPr>
        <w:drawing>
          <wp:anchor distT="0" distB="0" distL="114300" distR="114300" simplePos="0" relativeHeight="251660288" behindDoc="1" locked="0" layoutInCell="1" allowOverlap="1">
            <wp:simplePos x="0" y="0"/>
            <wp:positionH relativeFrom="column">
              <wp:posOffset>252730</wp:posOffset>
            </wp:positionH>
            <wp:positionV relativeFrom="paragraph">
              <wp:posOffset>375285</wp:posOffset>
            </wp:positionV>
            <wp:extent cx="4679950" cy="2902585"/>
            <wp:effectExtent l="4445" t="4445" r="78105" b="64770"/>
            <wp:wrapTight wrapText="bothSides">
              <wp:wrapPolygon>
                <wp:start x="-21" y="-33"/>
                <wp:lineTo x="-21" y="21515"/>
                <wp:lineTo x="21521" y="21515"/>
                <wp:lineTo x="21521" y="-33"/>
                <wp:lineTo x="-21" y="-33"/>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kern w:val="0"/>
          <w:sz w:val="32"/>
          <w:szCs w:val="32"/>
          <w:lang w:val="en-US" w:eastAsia="zh-CN" w:bidi="ar-SA"/>
        </w:rPr>
        <w:t>（图2：收入决算结构图）（饼状图）</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单位：万元</w:t>
      </w:r>
      <w:r>
        <w:rPr>
          <w:rFonts w:hint="eastAsia" w:ascii="仿宋" w:hAnsi="仿宋" w:eastAsia="仿宋" w:cs="仿宋"/>
          <w:color w:val="000000"/>
          <w:sz w:val="32"/>
          <w:szCs w:val="32"/>
        </w:rPr>
        <w:t>）</w:t>
      </w:r>
    </w:p>
    <w:p>
      <w:pPr>
        <w:spacing w:line="600" w:lineRule="exact"/>
        <w:ind w:firstLine="560" w:firstLineChars="200"/>
        <w:rPr>
          <w:rFonts w:hint="eastAsia" w:asciiTheme="minorEastAsia" w:hAnsiTheme="minorEastAsia" w:eastAsiaTheme="minorEastAsia" w:cstheme="minorEastAsia"/>
          <w:color w:val="000000"/>
          <w:sz w:val="28"/>
          <w:szCs w:val="28"/>
          <w:lang w:eastAsia="zh-CN"/>
        </w:rPr>
      </w:pPr>
    </w:p>
    <w:p>
      <w:pPr>
        <w:pStyle w:val="23"/>
        <w:numPr>
          <w:ilvl w:val="0"/>
          <w:numId w:val="4"/>
        </w:numPr>
        <w:spacing w:line="600" w:lineRule="exact"/>
        <w:ind w:firstLineChars="0"/>
        <w:outlineLvl w:val="1"/>
        <w:rPr>
          <w:rStyle w:val="25"/>
          <w:rFonts w:ascii="黑体" w:hAnsi="黑体" w:eastAsia="黑体"/>
          <w:b w:val="0"/>
        </w:rPr>
      </w:pPr>
      <w:bookmarkStart w:id="46" w:name="_Toc19984"/>
      <w:bookmarkStart w:id="47" w:name="_Toc15396605"/>
      <w:bookmarkStart w:id="48"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46"/>
      <w:bookmarkEnd w:id="47"/>
      <w:bookmarkEnd w:id="48"/>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2019年本年支出合计403.39万元，其中：基本支出67.99万元，占16.85%；项目支出335.4万元，占83.15%。</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（图3：支出决算结构图）（饼状图）（单位：万元）</w:t>
      </w:r>
    </w:p>
    <w:p>
      <w:pPr>
        <w:bidi w:val="0"/>
        <w:rPr>
          <w:rFonts w:hint="eastAsia"/>
        </w:rPr>
      </w:pPr>
      <w:bookmarkStart w:id="49" w:name="_Toc15396606"/>
      <w:bookmarkStart w:id="50" w:name="_Toc15377208"/>
      <w:r>
        <w:rPr>
          <w:rFonts w:hint="eastAsia"/>
          <w:lang w:eastAsia="zh-CN"/>
        </w:rPr>
        <w:drawing>
          <wp:anchor distT="0" distB="0" distL="114300" distR="114300" simplePos="0" relativeHeight="251661312" behindDoc="1" locked="0" layoutInCell="1" allowOverlap="1">
            <wp:simplePos x="0" y="0"/>
            <wp:positionH relativeFrom="column">
              <wp:posOffset>273685</wp:posOffset>
            </wp:positionH>
            <wp:positionV relativeFrom="paragraph">
              <wp:posOffset>12700</wp:posOffset>
            </wp:positionV>
            <wp:extent cx="4794250" cy="2899410"/>
            <wp:effectExtent l="4445" t="4445" r="20955" b="10795"/>
            <wp:wrapTight wrapText="bothSides">
              <wp:wrapPolygon>
                <wp:start x="-20" y="-33"/>
                <wp:lineTo x="-20" y="21539"/>
                <wp:lineTo x="21523" y="21539"/>
                <wp:lineTo x="21523" y="-33"/>
                <wp:lineTo x="-20" y="-33"/>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51" w:name="_Toc283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9"/>
      <w:bookmarkEnd w:id="50"/>
      <w:bookmarkEnd w:id="51"/>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度财政拨款收入489.57万元、年初财政拨款结转和结余2.52万元，财政拨款支出403.38万元，年末财政拨款结转和结余88.72万元。与2018年相比，收入增加217.61万元，增长80.02%，主要变动原因是增加征地农转非人员医疗保险项目和村级集体经济补助项目；支出增加133.94万元，增长49.71%，主要变动原因是增加征地农转非人员医疗保险项目。</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drawing>
          <wp:anchor distT="0" distB="0" distL="114300" distR="114300" simplePos="0" relativeHeight="251662336" behindDoc="1" locked="0" layoutInCell="1" allowOverlap="1">
            <wp:simplePos x="0" y="0"/>
            <wp:positionH relativeFrom="column">
              <wp:posOffset>89535</wp:posOffset>
            </wp:positionH>
            <wp:positionV relativeFrom="paragraph">
              <wp:posOffset>791210</wp:posOffset>
            </wp:positionV>
            <wp:extent cx="5080000" cy="3196590"/>
            <wp:effectExtent l="4445" t="4445" r="20955" b="56515"/>
            <wp:wrapTight wrapText="bothSides">
              <wp:wrapPolygon>
                <wp:start x="-19" y="-30"/>
                <wp:lineTo x="-19" y="21467"/>
                <wp:lineTo x="21527" y="21467"/>
                <wp:lineTo x="21527" y="-30"/>
                <wp:lineTo x="-19" y="-3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kern w:val="0"/>
          <w:sz w:val="32"/>
          <w:szCs w:val="32"/>
          <w:lang w:val="en-US" w:eastAsia="zh-CN" w:bidi="ar-SA"/>
        </w:rPr>
        <w:t>（图4：财政拨款收、支决算总计变动情况）（柱状图）（单位：万元）</w:t>
      </w:r>
    </w:p>
    <w:p>
      <w:pPr>
        <w:spacing w:line="600" w:lineRule="exact"/>
        <w:rPr>
          <w:rFonts w:hint="eastAsia" w:ascii="仿宋" w:hAnsi="仿宋" w:eastAsia="仿宋"/>
          <w:b/>
          <w:color w:val="00B050"/>
          <w:sz w:val="32"/>
          <w:szCs w:val="32"/>
          <w:lang w:eastAsia="zh-CN"/>
        </w:rPr>
      </w:pPr>
    </w:p>
    <w:p>
      <w:pPr>
        <w:spacing w:line="600" w:lineRule="exact"/>
        <w:ind w:firstLine="640" w:firstLineChars="200"/>
        <w:outlineLvl w:val="1"/>
        <w:rPr>
          <w:rStyle w:val="25"/>
          <w:rFonts w:ascii="黑体" w:hAnsi="黑体" w:eastAsia="黑体"/>
          <w:b w:val="0"/>
        </w:rPr>
      </w:pPr>
      <w:bookmarkStart w:id="52" w:name="_Toc15396607"/>
      <w:bookmarkStart w:id="53" w:name="_Toc15377209"/>
      <w:bookmarkStart w:id="54" w:name="_Toc1630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52"/>
      <w:bookmarkEnd w:id="53"/>
      <w:bookmarkEnd w:id="54"/>
    </w:p>
    <w:p>
      <w:pPr>
        <w:ind w:firstLine="640" w:firstLineChars="200"/>
        <w:outlineLvl w:val="2"/>
        <w:rPr>
          <w:rFonts w:hint="eastAsia" w:ascii="仿宋" w:hAnsi="仿宋" w:eastAsia="仿宋" w:cs="仿宋"/>
          <w:kern w:val="0"/>
          <w:sz w:val="32"/>
          <w:szCs w:val="32"/>
          <w:lang w:val="en-US" w:eastAsia="zh-CN" w:bidi="ar-SA"/>
        </w:rPr>
      </w:pPr>
      <w:bookmarkStart w:id="55" w:name="_Toc15377210"/>
      <w:bookmarkStart w:id="56" w:name="_Toc15377211"/>
      <w:r>
        <w:rPr>
          <w:rFonts w:hint="eastAsia" w:ascii="仿宋" w:hAnsi="仿宋" w:eastAsia="仿宋" w:cs="仿宋"/>
          <w:kern w:val="0"/>
          <w:sz w:val="32"/>
          <w:szCs w:val="32"/>
          <w:lang w:val="en-US" w:eastAsia="zh-CN" w:bidi="ar-SA"/>
        </w:rPr>
        <w:t>（一）一般公共预算财政拨款支出决算总体情况</w:t>
      </w:r>
      <w:bookmarkEnd w:id="55"/>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2019年一般公共预算财政拨款支出296.22万元，占本年支出合计的73.43%。与2018年相比，一般公共预算财政拨款增加26.78万元，增长9.94%。主要变动原因是增加干部人事档案数字化项目。</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（图5：一般公共预算财政拨款支出决算变动情况）（柱状图）（单位：万元）</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4384" behindDoc="1" locked="0" layoutInCell="1" allowOverlap="1">
            <wp:simplePos x="0" y="0"/>
            <wp:positionH relativeFrom="column">
              <wp:posOffset>231775</wp:posOffset>
            </wp:positionH>
            <wp:positionV relativeFrom="paragraph">
              <wp:posOffset>123190</wp:posOffset>
            </wp:positionV>
            <wp:extent cx="4741545" cy="2996565"/>
            <wp:effectExtent l="4445" t="4445" r="16510" b="8890"/>
            <wp:wrapTight wrapText="bothSides">
              <wp:wrapPolygon>
                <wp:start x="-20" y="-32"/>
                <wp:lineTo x="-20" y="21527"/>
                <wp:lineTo x="21502" y="21527"/>
                <wp:lineTo x="21502" y="-32"/>
                <wp:lineTo x="-20" y="-32"/>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640" w:firstLineChars="200"/>
        <w:outlineLvl w:val="2"/>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（二）一般公共预算财政拨款支出决算结构情况</w:t>
      </w:r>
      <w:bookmarkEnd w:id="56"/>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一般公共预算财政拨款支出296.22万元，主要用于以下方面:一般公共服务（类）支出264.01万元，占89.13%；社会保障和就业（类）支出22.29万元，占7.52%；卫生健康支出1万元，占0.34%；农林水支出5.92万元，占2%；其他支出3万元，占1.01%。</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（图6：一般公共预算财政拨款支出决算结构）（饼状图）（单位：万元）</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s="仿宋"/>
          <w:kern w:val="0"/>
          <w:sz w:val="32"/>
          <w:szCs w:val="32"/>
          <w:lang w:val="en-US" w:eastAsia="zh-CN" w:bidi="ar-SA"/>
        </w:rPr>
        <w:drawing>
          <wp:anchor distT="0" distB="0" distL="114300" distR="114300" simplePos="0" relativeHeight="251663360" behindDoc="0" locked="0" layoutInCell="1" allowOverlap="1">
            <wp:simplePos x="0" y="0"/>
            <wp:positionH relativeFrom="column">
              <wp:posOffset>347345</wp:posOffset>
            </wp:positionH>
            <wp:positionV relativeFrom="paragraph">
              <wp:posOffset>34925</wp:posOffset>
            </wp:positionV>
            <wp:extent cx="4550410" cy="3090545"/>
            <wp:effectExtent l="4445" t="4445" r="17145" b="1016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ind w:firstLine="640" w:firstLineChars="200"/>
        <w:rPr>
          <w:rFonts w:hint="eastAsia" w:ascii="仿宋" w:hAnsi="仿宋" w:eastAsia="仿宋" w:cs="仿宋"/>
          <w:kern w:val="0"/>
          <w:sz w:val="32"/>
          <w:szCs w:val="32"/>
          <w:lang w:val="en-US" w:eastAsia="zh-CN" w:bidi="ar-SA"/>
        </w:rPr>
      </w:pPr>
      <w:bookmarkStart w:id="57" w:name="_Toc15377212"/>
      <w:r>
        <w:rPr>
          <w:rFonts w:hint="eastAsia" w:ascii="仿宋" w:hAnsi="仿宋" w:eastAsia="仿宋" w:cs="仿宋"/>
          <w:kern w:val="0"/>
          <w:sz w:val="32"/>
          <w:szCs w:val="32"/>
          <w:lang w:val="en-US" w:eastAsia="zh-CN" w:bidi="ar-SA"/>
        </w:rPr>
        <w:t>（三）一般公共预算财政拨款支出决算具体情况</w:t>
      </w:r>
      <w:bookmarkEnd w:id="57"/>
    </w:p>
    <w:p>
      <w:pPr>
        <w:ind w:firstLine="640" w:firstLineChars="200"/>
        <w:rPr>
          <w:rFonts w:hint="eastAsia" w:ascii="仿宋" w:hAnsi="仿宋" w:eastAsia="仿宋" w:cs="仿宋"/>
          <w:kern w:val="0"/>
          <w:sz w:val="32"/>
          <w:szCs w:val="32"/>
          <w:lang w:val="en-US" w:eastAsia="zh-CN" w:bidi="ar-SA"/>
        </w:rPr>
      </w:pPr>
      <w:bookmarkStart w:id="58" w:name="_Toc15378460"/>
      <w:bookmarkStart w:id="59" w:name="_Toc15377213"/>
      <w:bookmarkStart w:id="60" w:name="_Toc15377444"/>
      <w:r>
        <w:rPr>
          <w:rFonts w:hint="eastAsia" w:ascii="仿宋" w:hAnsi="仿宋" w:eastAsia="仿宋" w:cs="仿宋"/>
          <w:kern w:val="0"/>
          <w:sz w:val="32"/>
          <w:szCs w:val="32"/>
          <w:lang w:val="en-US" w:eastAsia="zh-CN" w:bidi="ar-SA"/>
        </w:rPr>
        <w:t>2019年一般公共预算支出决算数为296.22万元，完成预算100%。其中：</w:t>
      </w:r>
      <w:bookmarkEnd w:id="58"/>
      <w:bookmarkEnd w:id="59"/>
      <w:bookmarkEnd w:id="60"/>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1.一般公共服务（201）政府办公厅（室）及相关机构事务（03）行政运行（01）: 支出决算为21.82万元，完成预算100%。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2.一般公共服务（201）政府办公厅（室）及相关机构事务（03）一般行政管理事务（02）: 支出决算为54.68万元，完成预算100%。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3.一般公共服务（201）人力资源事务（10）一般行政管理事务（02）: 支出决算为3.64万元，完成预算100%。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4.一般公共服务（201）人力资源事务（10）其他人力资源事务支出（99）: 支出决算为41.38万元，完成预算100%。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5.一般公共服务（201）民主党派及工商联事务（28）一般行政管理事务（02）: 支出决算为3万元，完成预算100%。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6.一般公共服务（201）群众团体事务（29）一般行政管理事务（02）: 支出决算为26.94万元，完成预算100%。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7.一般公共服务（201）党委办公厅（室）及相关机构事务（31）一般行政管理事务（02）: 支出决算为0.14万元，完成预算100%。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8.一般公共服务（201）组织事务（32）一般行政管理事务（02）: 支出决算为19.96万元，完成预算100%。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9.一般公共服务（201）其他共产党事务支出（36）行政运行（01）: 支出决算为46.17万元，完成预算100%。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10.一般公共服务（201）其他共产党事务支出（36）一般行政管理事务（02）: 支出决算</w:t>
      </w:r>
      <w:r>
        <w:rPr>
          <w:rFonts w:hint="eastAsia" w:ascii="仿宋" w:hAnsi="仿宋" w:eastAsia="仿宋" w:cs="仿宋"/>
          <w:color w:val="auto"/>
          <w:kern w:val="0"/>
          <w:sz w:val="32"/>
          <w:szCs w:val="32"/>
          <w:lang w:val="en-US" w:eastAsia="zh-CN" w:bidi="ar-SA"/>
        </w:rPr>
        <w:t>为46.28</w:t>
      </w:r>
      <w:r>
        <w:rPr>
          <w:rFonts w:hint="eastAsia" w:ascii="仿宋" w:hAnsi="仿宋" w:eastAsia="仿宋" w:cs="仿宋"/>
          <w:kern w:val="0"/>
          <w:sz w:val="32"/>
          <w:szCs w:val="32"/>
          <w:lang w:val="en-US" w:eastAsia="zh-CN" w:bidi="ar-SA"/>
        </w:rPr>
        <w:t>万元，完成预算100%。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11.社会保障和就业（208）人力资源和社会保障管理事务（01）其他人力资源和社会保障管理事务支出（99）: 支出决算为11.6万元元，完成预算100%。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12.社会保障和就业（208）就业补助（07）公益性岗位补贴（05）: 支出决算为10.69万元元，完成预算100%。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13.卫生健康支出（210）公共卫生（04）重大公共卫生专项（09）: 支出决算为1万元元，完成预算100%。</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14.农林水支出（213）扶贫（05）其他扶贫支出（99）:支出决算为5.92万元，完成预算100%。</w:t>
      </w:r>
    </w:p>
    <w:p>
      <w:pPr>
        <w:ind w:firstLine="640" w:firstLineChars="200"/>
        <w:rPr>
          <w:rFonts w:hint="eastAsia" w:ascii="宋体" w:hAnsi="宋体" w:eastAsia="宋体" w:cs="宋体"/>
          <w:kern w:val="0"/>
          <w:sz w:val="28"/>
          <w:szCs w:val="28"/>
          <w:lang w:val="en-US" w:eastAsia="zh-CN" w:bidi="ar-SA"/>
        </w:rPr>
      </w:pPr>
      <w:r>
        <w:rPr>
          <w:rFonts w:hint="eastAsia" w:ascii="仿宋" w:hAnsi="仿宋" w:eastAsia="仿宋" w:cs="仿宋"/>
          <w:kern w:val="0"/>
          <w:sz w:val="32"/>
          <w:szCs w:val="32"/>
          <w:lang w:val="en-US" w:eastAsia="zh-CN" w:bidi="ar-SA"/>
        </w:rPr>
        <w:t>15.其他支出（229）其他支出（99）其他支出（01）:支出决算为3万元，完成预算100%。</w:t>
      </w:r>
    </w:p>
    <w:p>
      <w:pPr>
        <w:tabs>
          <w:tab w:val="right" w:pos="8306"/>
        </w:tabs>
        <w:spacing w:line="600" w:lineRule="exact"/>
        <w:ind w:firstLine="640"/>
        <w:outlineLvl w:val="1"/>
        <w:rPr>
          <w:rStyle w:val="25"/>
        </w:rPr>
      </w:pPr>
      <w:bookmarkStart w:id="61" w:name="_Toc17033"/>
      <w:bookmarkStart w:id="62" w:name="_Toc15396608"/>
      <w:bookmarkStart w:id="6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61"/>
      <w:bookmarkEnd w:id="62"/>
      <w:bookmarkEnd w:id="63"/>
      <w:r>
        <w:rPr>
          <w:rStyle w:val="25"/>
          <w:rFonts w:ascii="黑体" w:hAnsi="黑体" w:eastAsia="黑体"/>
          <w:b w:val="0"/>
        </w:rPr>
        <w:tab/>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2019年一般公共预算财政拨款基本支出67.99万元，其中：</w:t>
      </w:r>
    </w:p>
    <w:p>
      <w:pPr>
        <w:ind w:firstLine="640" w:firstLineChars="200"/>
        <w:rPr>
          <w:rFonts w:hint="eastAsia" w:ascii="仿宋" w:hAnsi="仿宋" w:eastAsia="仿宋"/>
          <w:color w:val="000000"/>
          <w:sz w:val="32"/>
          <w:szCs w:val="32"/>
        </w:rPr>
      </w:pPr>
      <w:r>
        <w:rPr>
          <w:rFonts w:hint="eastAsia" w:ascii="仿宋" w:hAnsi="仿宋" w:eastAsia="仿宋" w:cs="仿宋"/>
          <w:kern w:val="0"/>
          <w:sz w:val="32"/>
          <w:szCs w:val="32"/>
          <w:lang w:val="en-US" w:eastAsia="zh-CN" w:bidi="ar-SA"/>
        </w:rPr>
        <w:t>人员经费43.34万元，主要包括：基本工资、津贴补贴、奖金、伙食补助费、绩效工资、其他工资福利支出、奖励金、其他对个人和家庭的补助支出等。</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日常公用经费24.65万元，主要包括：办公费、印刷费、邮电费、差旅费、公务接待费、劳务费、福利费、其他交通费、其他商品和服务支出等。</w:t>
      </w:r>
    </w:p>
    <w:p>
      <w:pPr>
        <w:spacing w:line="600" w:lineRule="exact"/>
        <w:ind w:firstLine="640"/>
        <w:outlineLvl w:val="1"/>
        <w:rPr>
          <w:rStyle w:val="25"/>
          <w:rFonts w:ascii="黑体" w:hAnsi="黑体" w:eastAsia="黑体"/>
          <w:b w:val="0"/>
        </w:rPr>
      </w:pPr>
      <w:bookmarkStart w:id="64" w:name="_Toc15377215"/>
      <w:bookmarkStart w:id="65" w:name="_Toc27833"/>
      <w:bookmarkStart w:id="66"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4"/>
      <w:bookmarkEnd w:id="65"/>
      <w:bookmarkEnd w:id="66"/>
    </w:p>
    <w:p>
      <w:pPr>
        <w:ind w:firstLine="640" w:firstLineChars="200"/>
        <w:outlineLvl w:val="2"/>
        <w:rPr>
          <w:rFonts w:hint="eastAsia" w:ascii="仿宋" w:hAnsi="仿宋" w:eastAsia="仿宋" w:cs="仿宋"/>
          <w:kern w:val="0"/>
          <w:sz w:val="32"/>
          <w:szCs w:val="32"/>
          <w:lang w:val="en-US" w:eastAsia="zh-CN" w:bidi="ar-SA"/>
        </w:rPr>
      </w:pPr>
      <w:bookmarkStart w:id="67" w:name="_Toc15377216"/>
      <w:r>
        <w:rPr>
          <w:rFonts w:hint="eastAsia" w:ascii="仿宋" w:hAnsi="仿宋" w:eastAsia="仿宋" w:cs="仿宋"/>
          <w:kern w:val="0"/>
          <w:sz w:val="32"/>
          <w:szCs w:val="32"/>
          <w:lang w:val="en-US" w:eastAsia="zh-CN" w:bidi="ar-SA"/>
        </w:rPr>
        <w:t>（一）“三公”经费财政拨款支出决算总体情况说明</w:t>
      </w:r>
      <w:bookmarkEnd w:id="67"/>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2019年“三公”经费财政拨款支出决算为0万元，完成预算100%。</w:t>
      </w:r>
    </w:p>
    <w:p>
      <w:pPr>
        <w:ind w:firstLine="640" w:firstLineChars="200"/>
        <w:outlineLvl w:val="2"/>
        <w:rPr>
          <w:rFonts w:hint="eastAsia" w:ascii="仿宋" w:hAnsi="仿宋" w:eastAsia="仿宋" w:cs="仿宋"/>
          <w:kern w:val="0"/>
          <w:sz w:val="32"/>
          <w:szCs w:val="32"/>
          <w:lang w:val="en-US" w:eastAsia="zh-CN" w:bidi="ar-SA"/>
        </w:rPr>
      </w:pPr>
      <w:bookmarkStart w:id="68" w:name="_Toc15377217"/>
      <w:r>
        <w:rPr>
          <w:rFonts w:hint="eastAsia" w:ascii="仿宋" w:hAnsi="仿宋" w:eastAsia="仿宋" w:cs="仿宋"/>
          <w:kern w:val="0"/>
          <w:sz w:val="32"/>
          <w:szCs w:val="32"/>
          <w:lang w:val="en-US" w:eastAsia="zh-CN" w:bidi="ar-SA"/>
        </w:rPr>
        <w:t>（二）“三公”经费财政拨款支出决算具体情况说明</w:t>
      </w:r>
      <w:bookmarkEnd w:id="68"/>
    </w:p>
    <w:p>
      <w:pPr>
        <w:ind w:firstLine="640" w:firstLineChars="200"/>
        <w:rPr>
          <w:rFonts w:hint="eastAsia" w:ascii="宋体" w:hAnsi="宋体" w:eastAsia="宋体" w:cs="宋体"/>
          <w:kern w:val="0"/>
          <w:sz w:val="28"/>
          <w:szCs w:val="28"/>
          <w:lang w:val="en-US" w:eastAsia="zh-CN" w:bidi="ar-SA"/>
        </w:rPr>
      </w:pPr>
      <w:r>
        <w:rPr>
          <w:rFonts w:hint="eastAsia" w:ascii="仿宋" w:hAnsi="仿宋" w:eastAsia="仿宋" w:cs="仿宋"/>
          <w:kern w:val="0"/>
          <w:sz w:val="32"/>
          <w:szCs w:val="32"/>
          <w:lang w:val="en-US" w:eastAsia="zh-CN" w:bidi="ar-SA"/>
        </w:rPr>
        <w:t>2019年“三公”经费财政拨款支出决算中，因公出国（境）费支出决算0万元；公务接待费支出决算0万元。具体情况如下：</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1.因公出国（境）经费支出0万元。全年安排因公出国（境）团组0次，出国（境）0人。和2018年持平</w:t>
      </w:r>
      <w:r>
        <w:rPr>
          <w:rFonts w:hint="eastAsia" w:asciiTheme="majorEastAsia" w:hAnsiTheme="majorEastAsia" w:eastAsiaTheme="majorEastAsia" w:cstheme="majorEastAsia"/>
          <w:color w:val="000000"/>
          <w:sz w:val="28"/>
          <w:szCs w:val="28"/>
          <w:lang w:eastAsia="zh-CN"/>
        </w:rPr>
        <w:t>。</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2.公务用车购置及运行维护费支出0万元。</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其中：公务用车购置支出0万元。</w:t>
      </w:r>
      <w:r>
        <w:rPr>
          <w:rFonts w:hint="eastAsia" w:ascii="仿宋_GB2312" w:eastAsia="仿宋_GB2312"/>
          <w:color w:val="000000"/>
          <w:sz w:val="32"/>
          <w:szCs w:val="32"/>
        </w:rPr>
        <w:t>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r>
        <w:rPr>
          <w:rFonts w:hint="eastAsia" w:ascii="仿宋_GB2312" w:eastAsia="仿宋_GB2312"/>
          <w:color w:val="000000"/>
          <w:sz w:val="32"/>
          <w:szCs w:val="32"/>
          <w:lang w:eastAsia="zh-CN"/>
        </w:rPr>
        <w:t>。</w:t>
      </w:r>
      <w:r>
        <w:rPr>
          <w:rFonts w:hint="eastAsia" w:ascii="仿宋" w:hAnsi="仿宋" w:eastAsia="仿宋" w:cs="仿宋"/>
          <w:kern w:val="0"/>
          <w:sz w:val="32"/>
          <w:szCs w:val="32"/>
          <w:lang w:val="en-US" w:eastAsia="zh-CN" w:bidi="ar-SA"/>
        </w:rPr>
        <w:t>和2018年持平。</w:t>
      </w:r>
    </w:p>
    <w:p>
      <w:pPr>
        <w:ind w:firstLine="640" w:firstLineChars="200"/>
        <w:rPr>
          <w:rFonts w:hint="eastAsia" w:ascii="宋体" w:hAnsi="宋体" w:eastAsia="宋体" w:cs="宋体"/>
          <w:kern w:val="0"/>
          <w:sz w:val="28"/>
          <w:szCs w:val="28"/>
          <w:lang w:val="en-US" w:eastAsia="zh-CN" w:bidi="ar-SA"/>
        </w:rPr>
      </w:pPr>
      <w:r>
        <w:rPr>
          <w:rFonts w:hint="eastAsia" w:ascii="仿宋" w:hAnsi="仿宋" w:eastAsia="仿宋" w:cs="仿宋"/>
          <w:kern w:val="0"/>
          <w:sz w:val="32"/>
          <w:szCs w:val="32"/>
          <w:lang w:val="en-US" w:eastAsia="zh-CN" w:bidi="ar-SA"/>
        </w:rPr>
        <w:t>公务用车运行维护费支出0万元。和2018年持平</w:t>
      </w:r>
      <w:r>
        <w:rPr>
          <w:rFonts w:hint="eastAsia" w:asciiTheme="majorEastAsia" w:hAnsiTheme="majorEastAsia" w:eastAsiaTheme="majorEastAsia" w:cstheme="majorEastAsia"/>
          <w:color w:val="000000"/>
          <w:sz w:val="28"/>
          <w:szCs w:val="28"/>
          <w:lang w:eastAsia="zh-CN"/>
        </w:rPr>
        <w:t>。</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3.公务接待费支出0万元。公务接待费支出决算和2018年持平。国内公务接待支出0万元。国内公务接待0批次，0人次（不包括陪同人员），共计支出0万元。外事接待支出0万元，外事接待0批次，0人，共计支出0万元。</w:t>
      </w:r>
    </w:p>
    <w:p>
      <w:pPr>
        <w:spacing w:line="600" w:lineRule="exact"/>
        <w:ind w:firstLine="640"/>
        <w:outlineLvl w:val="1"/>
        <w:rPr>
          <w:rStyle w:val="25"/>
          <w:rFonts w:ascii="黑体" w:hAnsi="黑体" w:eastAsia="黑体"/>
        </w:rPr>
      </w:pPr>
      <w:bookmarkStart w:id="69" w:name="_Toc15396610"/>
      <w:bookmarkStart w:id="70" w:name="_Toc15377218"/>
      <w:bookmarkStart w:id="71" w:name="_Toc2235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9"/>
      <w:bookmarkEnd w:id="70"/>
      <w:bookmarkEnd w:id="71"/>
    </w:p>
    <w:p>
      <w:pPr>
        <w:ind w:firstLine="640" w:firstLineChars="200"/>
        <w:rPr>
          <w:rFonts w:ascii="仿宋_GB2312" w:eastAsia="仿宋_GB2312"/>
          <w:color w:val="000000"/>
          <w:sz w:val="32"/>
          <w:szCs w:val="32"/>
        </w:rPr>
      </w:pPr>
      <w:r>
        <w:rPr>
          <w:rFonts w:hint="eastAsia" w:ascii="仿宋" w:hAnsi="仿宋" w:eastAsia="仿宋" w:cs="仿宋"/>
          <w:kern w:val="0"/>
          <w:sz w:val="32"/>
          <w:szCs w:val="32"/>
          <w:lang w:val="en-US" w:eastAsia="zh-CN" w:bidi="ar-SA"/>
        </w:rPr>
        <w:t>2019年政府性基金预算拨款支出107.17万元。</w:t>
      </w:r>
    </w:p>
    <w:p>
      <w:pPr>
        <w:numPr>
          <w:ilvl w:val="0"/>
          <w:numId w:val="5"/>
        </w:numPr>
        <w:spacing w:line="600" w:lineRule="exact"/>
        <w:ind w:firstLine="640"/>
        <w:outlineLvl w:val="1"/>
        <w:rPr>
          <w:rStyle w:val="25"/>
          <w:rFonts w:ascii="黑体" w:hAnsi="黑体" w:eastAsia="黑体"/>
          <w:b w:val="0"/>
        </w:rPr>
      </w:pPr>
      <w:bookmarkStart w:id="72" w:name="_Toc15377219"/>
      <w:bookmarkStart w:id="73" w:name="_Toc15396611"/>
      <w:bookmarkStart w:id="74" w:name="_Toc6291"/>
      <w:r>
        <w:rPr>
          <w:rStyle w:val="25"/>
          <w:rFonts w:hint="eastAsia" w:ascii="黑体" w:hAnsi="黑体" w:eastAsia="黑体"/>
          <w:b w:val="0"/>
        </w:rPr>
        <w:t>国有资本经营预算支出决算情况说明</w:t>
      </w:r>
      <w:bookmarkEnd w:id="72"/>
      <w:bookmarkEnd w:id="73"/>
      <w:bookmarkEnd w:id="74"/>
    </w:p>
    <w:p>
      <w:pPr>
        <w:spacing w:line="600" w:lineRule="exact"/>
        <w:ind w:firstLine="640"/>
        <w:rPr>
          <w:rFonts w:hint="eastAsia" w:ascii="宋体" w:hAnsi="宋体" w:eastAsia="宋体" w:cs="宋体"/>
          <w:kern w:val="0"/>
          <w:sz w:val="28"/>
          <w:szCs w:val="28"/>
          <w:lang w:val="en-US" w:eastAsia="zh-CN" w:bidi="ar-SA"/>
        </w:rPr>
      </w:pPr>
      <w:r>
        <w:rPr>
          <w:rFonts w:hint="eastAsia" w:ascii="仿宋" w:hAnsi="仿宋" w:eastAsia="仿宋" w:cs="仿宋"/>
          <w:kern w:val="0"/>
          <w:sz w:val="32"/>
          <w:szCs w:val="32"/>
          <w:lang w:val="en-US" w:eastAsia="zh-CN" w:bidi="ar-SA"/>
        </w:rPr>
        <w:t>2019年国有资本经营预算拨款支出0万元。</w:t>
      </w:r>
      <w:bookmarkStart w:id="117" w:name="_GoBack"/>
      <w:bookmarkEnd w:id="117"/>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75" w:name="_Toc15377221"/>
      <w:bookmarkStart w:id="76" w:name="_Toc15396612"/>
      <w:bookmarkStart w:id="77" w:name="_Toc23659"/>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75"/>
      <w:bookmarkEnd w:id="76"/>
      <w:bookmarkEnd w:id="77"/>
    </w:p>
    <w:p>
      <w:pPr>
        <w:spacing w:line="600" w:lineRule="exact"/>
        <w:ind w:firstLine="640"/>
        <w:outlineLvl w:val="2"/>
        <w:rPr>
          <w:rFonts w:hint="eastAsia" w:ascii="仿宋" w:hAnsi="仿宋" w:eastAsia="仿宋" w:cs="仿宋"/>
          <w:kern w:val="0"/>
          <w:sz w:val="32"/>
          <w:szCs w:val="32"/>
          <w:lang w:val="en-US" w:eastAsia="zh-CN" w:bidi="ar-SA"/>
        </w:rPr>
      </w:pPr>
      <w:bookmarkStart w:id="78" w:name="_Toc15377222"/>
      <w:r>
        <w:rPr>
          <w:rFonts w:hint="eastAsia" w:ascii="仿宋" w:hAnsi="仿宋" w:eastAsia="仿宋" w:cs="仿宋"/>
          <w:kern w:val="0"/>
          <w:sz w:val="32"/>
          <w:szCs w:val="32"/>
          <w:lang w:val="en-US" w:eastAsia="zh-CN" w:bidi="ar-SA"/>
        </w:rPr>
        <w:t>（一）机关运行经费支出情况</w:t>
      </w:r>
      <w:bookmarkEnd w:id="78"/>
    </w:p>
    <w:p>
      <w:pPr>
        <w:spacing w:line="600" w:lineRule="exact"/>
        <w:ind w:firstLine="64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2019年，党群工作部机关运行经费支出24.65万元，比2018年减少17.15万元，下降41.03%。主要原因是2019年机构改革工作人员减少。</w:t>
      </w:r>
    </w:p>
    <w:p>
      <w:pPr>
        <w:spacing w:line="600" w:lineRule="exact"/>
        <w:ind w:firstLine="640"/>
        <w:outlineLvl w:val="2"/>
        <w:rPr>
          <w:rFonts w:hint="eastAsia" w:ascii="仿宋" w:hAnsi="仿宋" w:eastAsia="仿宋" w:cs="仿宋"/>
          <w:kern w:val="0"/>
          <w:sz w:val="32"/>
          <w:szCs w:val="32"/>
          <w:lang w:val="en-US" w:eastAsia="zh-CN" w:bidi="ar-SA"/>
        </w:rPr>
      </w:pPr>
      <w:bookmarkStart w:id="79" w:name="_Toc15377223"/>
      <w:r>
        <w:rPr>
          <w:rFonts w:hint="eastAsia" w:ascii="仿宋" w:hAnsi="仿宋" w:eastAsia="仿宋" w:cs="仿宋"/>
          <w:kern w:val="0"/>
          <w:sz w:val="32"/>
          <w:szCs w:val="32"/>
          <w:lang w:val="en-US" w:eastAsia="zh-CN" w:bidi="ar-SA"/>
        </w:rPr>
        <w:t>（二）政府采购支出情况</w:t>
      </w:r>
      <w:bookmarkEnd w:id="79"/>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党群工作部政府采购支出总额11.5万元，其中：政府采购货物支出11.5万元、政府采购工程支出0万元、政府采购服务支出0万元。主要用于干部人事档案数字化项目购置档案回转柜。授予中小企业合同金额0万元，占政府采购支出总额的0%，其中：授予小微企业合同金额0万元，占政府采购支出总额的0%。</w:t>
      </w:r>
    </w:p>
    <w:p>
      <w:pPr>
        <w:spacing w:line="600" w:lineRule="exact"/>
        <w:ind w:firstLine="640"/>
        <w:outlineLvl w:val="2"/>
        <w:rPr>
          <w:rFonts w:hint="eastAsia" w:ascii="仿宋" w:hAnsi="仿宋" w:eastAsia="仿宋" w:cs="仿宋"/>
          <w:kern w:val="0"/>
          <w:sz w:val="32"/>
          <w:szCs w:val="32"/>
          <w:lang w:val="en-US" w:eastAsia="zh-CN" w:bidi="ar-SA"/>
        </w:rPr>
      </w:pPr>
      <w:bookmarkStart w:id="80" w:name="_Toc15377224"/>
      <w:r>
        <w:rPr>
          <w:rFonts w:hint="eastAsia" w:ascii="仿宋" w:hAnsi="仿宋" w:eastAsia="仿宋" w:cs="仿宋"/>
          <w:kern w:val="0"/>
          <w:sz w:val="32"/>
          <w:szCs w:val="32"/>
          <w:lang w:val="en-US" w:eastAsia="zh-CN" w:bidi="ar-SA"/>
        </w:rPr>
        <w:t>（三）国有资产占有使用情况</w:t>
      </w:r>
      <w:bookmarkEnd w:id="80"/>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截至2019年12月31日，党群工作部共有车辆0辆。单价50万元以上通用设备0台（套），单价100万元以上专用设备0台（套）。</w:t>
      </w:r>
    </w:p>
    <w:p>
      <w:pPr>
        <w:spacing w:line="600" w:lineRule="exact"/>
        <w:ind w:firstLine="640"/>
        <w:outlineLvl w:val="2"/>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（四）预算绩效管理情况。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预算绩效管理要求，党群工作部在年初预算编制阶段，组织对就业扶贫开发农村公益性岗位补助资金等项目开展了预算事前绩效评估，对所有项目编制了绩效目标，预算执行过程中，选取5个项目开展绩效监控，年终执行完毕后，对5个项目开展了绩效目标完成情况自评。</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本部门按要求对2019年部门整体支出开展绩效自评，从评价情况来看从评价情况来看基本支出执行情况较好，项目支出存在个别项目执行率较低的问题。</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本部门还自行组织了5个项目绩效评价，从评价情况来看这五个项目各项绩效较好。</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1.项目绩效目标完成情况。</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本部门在2019年度部门决算中反映“妇联专项经费”“公益性岗位和劳动派遣管理”“就业扶贫开发农村公益性岗位补助资金”“党员教育和培训管理经费”“劳动关系和劳动仲裁工作经费”等5个项目绩效目标实际完成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妇联专项经费项目绩效目标完成情况综述。项目全年预算数8万元，调剂两镇3万执行总数为4.91万元，完成预算的98.21%。通过项目实施，保障高新区妇联工作正常开展，发现的主要问题：妇联活动开展活动形式不够丰富，深度不够。下一步改进措施：增加活动形式，加强对妇女儿童的关心爱护。</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公益性岗位和劳动派遣管理项目绩效目标完成情况综述。项目全年预算数12万元，执行数为10.69万元，完成预算的89.06%。通过项目实施，保障了区内公益性岗位人员的切身利益，提高就业。发现的主要问题：预算准确率还不太高。下一步改进措施：2019年预算是提高准确率。</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就业扶贫开发农村公益性岗位补助资金，年初预算5.92万元，执行5.92万元，预算执行率100%。通过项目实施，推进乡村公益事业发展，帮助贫困群众实现就业，发现的主要问题：相关社保补贴会根据政策而变化导致预算不准确。下一步改进措施：尽量通过核算比对是预算准确。</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党员教育和培训管理经费项目绩效目标完成情况综述。项目全年预算数3.5万元，执行数为3.05万元，完成预算的87.13%。通过项目实施，保障了机关和园区内非公企业党员的学习提升。发现的主要问题：学习内容不够丰富。下一步改进措施：增加学习形式丰富学习内容。</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（5）劳动关系和劳动仲裁工作经费，年初预算5万元，执行4.99万元，预算执行率99.81%。通过项目实施，构建劳动关系和谐园区。</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妇联专项经费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4.91万</w:t>
            </w:r>
          </w:p>
        </w:tc>
      </w:tr>
      <w:tr>
        <w:tblPrEx>
          <w:tblCellMar>
            <w:top w:w="0" w:type="dxa"/>
            <w:left w:w="0" w:type="dxa"/>
            <w:bottom w:w="0" w:type="dxa"/>
            <w:right w:w="0" w:type="dxa"/>
          </w:tblCellMar>
        </w:tblPrEx>
        <w:trPr>
          <w:trHeight w:val="22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4.91万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确保机关和两镇妇联正常开展工作，发展妇女儿童事业</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按预期完成</w:t>
            </w:r>
            <w:r>
              <w:rPr>
                <w:rFonts w:hint="eastAsia" w:asciiTheme="minorEastAsia" w:hAnsiTheme="minorEastAsia" w:eastAsiaTheme="minorEastAsia" w:cstheme="minorEastAsia"/>
                <w:color w:val="000000"/>
                <w:sz w:val="24"/>
                <w:lang w:val="en-US" w:eastAsia="zh-CN"/>
              </w:rPr>
              <w:t>2019年妇联工作</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开展慰问活动次数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1次</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b w:val="0"/>
                <w:bCs w:val="0"/>
                <w:sz w:val="24"/>
                <w:szCs w:val="24"/>
              </w:rPr>
              <w:t>开展妇联活动次数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1次</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妇联活动开展时间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3月</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开展慰问时间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妇女儿童成长情况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关爱妇女儿童，营造妇女儿童发展的优良环境，促进社会和谐发展</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bl>
    <w:p>
      <w:pPr>
        <w:spacing w:line="580" w:lineRule="exact"/>
        <w:ind w:firstLine="560" w:firstLineChars="200"/>
        <w:rPr>
          <w:rFonts w:hint="eastAsia" w:asciiTheme="minorEastAsia" w:hAnsiTheme="minorEastAsia" w:eastAsiaTheme="minorEastAsia" w:cstheme="minorEastAsia"/>
          <w:sz w:val="28"/>
          <w:szCs w:val="28"/>
          <w:lang w:val="en-US" w:eastAsia="zh-CN"/>
        </w:rPr>
      </w:pPr>
    </w:p>
    <w:p>
      <w:pPr>
        <w:spacing w:line="580" w:lineRule="exact"/>
        <w:ind w:firstLine="560" w:firstLineChars="200"/>
        <w:rPr>
          <w:rFonts w:hint="eastAsia" w:asciiTheme="minorEastAsia" w:hAnsiTheme="minorEastAsia" w:eastAsiaTheme="minorEastAsia" w:cstheme="minorEastAsia"/>
          <w:sz w:val="28"/>
          <w:szCs w:val="28"/>
          <w:lang w:val="en-US"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公益性岗位和劳动派遣管理</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10.69万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10.69万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ind w:left="718" w:leftChars="342" w:firstLine="3840" w:firstLineChars="1600"/>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完成20</w:t>
            </w:r>
            <w:r>
              <w:rPr>
                <w:rFonts w:hint="eastAsia" w:asciiTheme="minorEastAsia" w:hAnsiTheme="minorEastAsia" w:eastAsiaTheme="minorEastAsia" w:cstheme="minorEastAsia"/>
                <w:color w:val="000000"/>
                <w:sz w:val="24"/>
                <w:lang w:val="en-US" w:eastAsia="zh-CN"/>
              </w:rPr>
              <w:t>19</w:t>
            </w:r>
            <w:r>
              <w:rPr>
                <w:rFonts w:hint="eastAsia" w:asciiTheme="minorEastAsia" w:hAnsiTheme="minorEastAsia" w:eastAsiaTheme="minorEastAsia" w:cstheme="minorEastAsia"/>
                <w:color w:val="000000"/>
                <w:sz w:val="24"/>
              </w:rPr>
              <w:t>年公益性岗位补贴支付确保乡镇劳动保障协理员工作正常开展</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 xml:space="preserve">  </w:t>
            </w:r>
          </w:p>
          <w:p>
            <w:pPr>
              <w:widowControl/>
              <w:numPr>
                <w:ilvl w:val="0"/>
                <w:numId w:val="0"/>
              </w:numPr>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完成201</w:t>
            </w: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年公益性岗位补贴支付确保乡镇劳动保障协理员工作正常开展</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公益性岗位补贴</w:t>
            </w:r>
            <w:r>
              <w:rPr>
                <w:rFonts w:hint="eastAsia" w:asciiTheme="minorEastAsia" w:hAnsiTheme="minorEastAsia" w:eastAsiaTheme="minorEastAsia" w:cstheme="minorEastAsia"/>
                <w:color w:val="000000"/>
                <w:sz w:val="24"/>
                <w:lang w:eastAsia="zh-CN"/>
              </w:rPr>
              <w:t>人</w:t>
            </w:r>
            <w:r>
              <w:rPr>
                <w:rFonts w:hint="eastAsia" w:asciiTheme="minorEastAsia" w:hAnsiTheme="minorEastAsia" w:eastAsiaTheme="minorEastAsia" w:cstheme="minorEastAsia"/>
                <w:color w:val="000000"/>
                <w:sz w:val="24"/>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8人</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公益性岗位补贴支付时间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收到发票后及时支付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收到发票后</w:t>
            </w:r>
            <w:r>
              <w:rPr>
                <w:rFonts w:hint="eastAsia" w:asciiTheme="minorEastAsia" w:hAnsiTheme="minorEastAsia" w:eastAsiaTheme="minorEastAsia" w:cstheme="minorEastAsia"/>
                <w:color w:val="000000"/>
                <w:sz w:val="24"/>
                <w:lang w:eastAsia="zh-CN"/>
              </w:rPr>
              <w:t>支付</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补贴成本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全年不超过12</w:t>
            </w:r>
            <w:r>
              <w:rPr>
                <w:rFonts w:hint="eastAsia" w:asciiTheme="minorEastAsia" w:hAnsiTheme="minorEastAsia" w:eastAsiaTheme="minorEastAsia" w:cstheme="minorEastAsia"/>
                <w:color w:val="000000"/>
                <w:sz w:val="24"/>
                <w:lang w:eastAsia="zh-CN"/>
              </w:rPr>
              <w:t>万</w:t>
            </w:r>
            <w:r>
              <w:rPr>
                <w:rFonts w:hint="eastAsia" w:asciiTheme="minorEastAsia" w:hAnsiTheme="minorEastAsia" w:eastAsiaTheme="minorEastAsia" w:cstheme="minorEastAsia"/>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10.69万元</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bl>
    <w:p>
      <w:pPr>
        <w:spacing w:line="580" w:lineRule="exact"/>
        <w:ind w:firstLine="560" w:firstLineChars="200"/>
        <w:rPr>
          <w:rFonts w:hint="eastAsia" w:asciiTheme="minorEastAsia" w:hAnsiTheme="minorEastAsia" w:eastAsiaTheme="minorEastAsia" w:cstheme="minorEastAsia"/>
          <w:sz w:val="28"/>
          <w:szCs w:val="28"/>
          <w:lang w:val="en-US"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就业扶贫开发农村公益性岗位补助资金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5.92万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5.92万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5.92万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5.92万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做好</w:t>
            </w:r>
            <w:r>
              <w:rPr>
                <w:rFonts w:hint="eastAsia" w:asciiTheme="minorEastAsia" w:hAnsiTheme="minorEastAsia" w:eastAsiaTheme="minorEastAsia" w:cstheme="minorEastAsia"/>
                <w:color w:val="000000"/>
                <w:sz w:val="24"/>
                <w:lang w:val="en-US" w:eastAsia="zh-CN"/>
              </w:rPr>
              <w:t>2019</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eastAsia="zh-CN"/>
              </w:rPr>
              <w:t>就业扶贫</w:t>
            </w:r>
            <w:r>
              <w:rPr>
                <w:rFonts w:hint="eastAsia" w:asciiTheme="minorEastAsia" w:hAnsiTheme="minorEastAsia" w:eastAsiaTheme="minorEastAsia" w:cstheme="minorEastAsia"/>
                <w:color w:val="000000"/>
                <w:sz w:val="24"/>
                <w:lang w:val="en-US" w:eastAsia="zh-CN"/>
              </w:rPr>
              <w:t>开发农村公益性岗位工作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做好</w:t>
            </w:r>
            <w:r>
              <w:rPr>
                <w:rFonts w:hint="eastAsia" w:asciiTheme="minorEastAsia" w:hAnsiTheme="minorEastAsia" w:eastAsiaTheme="minorEastAsia" w:cstheme="minorEastAsia"/>
                <w:color w:val="000000"/>
                <w:sz w:val="24"/>
                <w:lang w:val="en-US" w:eastAsia="zh-CN"/>
              </w:rPr>
              <w:t>2019</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lang w:eastAsia="zh-CN"/>
              </w:rPr>
              <w:t>就业扶贫</w:t>
            </w:r>
            <w:r>
              <w:rPr>
                <w:rFonts w:hint="eastAsia" w:asciiTheme="minorEastAsia" w:hAnsiTheme="minorEastAsia" w:eastAsiaTheme="minorEastAsia" w:cstheme="minorEastAsia"/>
                <w:color w:val="000000"/>
                <w:sz w:val="24"/>
                <w:lang w:val="en-US" w:eastAsia="zh-CN"/>
              </w:rPr>
              <w:t>开发农村公益性岗位工作</w:t>
            </w: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16</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收到申报后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收到申报后</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补贴发放时间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收到申报后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收到申报后</w:t>
            </w:r>
            <w:r>
              <w:rPr>
                <w:rFonts w:hint="eastAsia" w:asciiTheme="minorEastAsia" w:hAnsiTheme="minorEastAsia" w:eastAsiaTheme="minorEastAsia" w:cstheme="minorEastAsia"/>
                <w:color w:val="000000"/>
                <w:sz w:val="24"/>
                <w:lang w:eastAsia="zh-CN"/>
              </w:rPr>
              <w:t>按时支付</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r>
              <w:rPr>
                <w:rFonts w:hint="eastAsia" w:ascii="黑体" w:hAnsi="黑体" w:eastAsia="黑体" w:cs="宋体"/>
                <w:bCs/>
                <w:color w:val="000000"/>
                <w:kern w:val="0"/>
                <w:sz w:val="36"/>
                <w:szCs w:val="36"/>
                <w:lang w:bidi="ar"/>
              </w:rPr>
              <w:t>项目支出绩效目标完成情况表</w:t>
            </w:r>
          </w:p>
          <w:p>
            <w:pPr>
              <w:pStyle w:val="23"/>
              <w:widowControl/>
              <w:ind w:left="4187" w:leftChars="1994" w:firstLine="18" w:firstLineChars="5"/>
              <w:textAlignment w:val="center"/>
              <w:rPr>
                <w:rFonts w:ascii="宋体" w:hAnsi="宋体" w:cs="宋体"/>
                <w:color w:val="000000"/>
                <w:sz w:val="36"/>
                <w:szCs w:val="36"/>
              </w:rPr>
            </w:pP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党员教育和培训管理经费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3.05万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3.05万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完成20</w:t>
            </w:r>
            <w:r>
              <w:rPr>
                <w:rFonts w:hint="eastAsia" w:asciiTheme="minorEastAsia" w:hAnsiTheme="minorEastAsia" w:eastAsiaTheme="minorEastAsia" w:cstheme="minorEastAsia"/>
                <w:color w:val="000000"/>
                <w:sz w:val="24"/>
                <w:lang w:val="en-US" w:eastAsia="zh-CN"/>
              </w:rPr>
              <w:t>19</w:t>
            </w:r>
            <w:r>
              <w:rPr>
                <w:rFonts w:hint="eastAsia" w:asciiTheme="minorEastAsia" w:hAnsiTheme="minorEastAsia" w:eastAsiaTheme="minorEastAsia" w:cstheme="minorEastAsia"/>
                <w:color w:val="000000"/>
                <w:sz w:val="24"/>
              </w:rPr>
              <w:t xml:space="preserve">年区内党员教育培训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对发展对象进行培训，购买党员学习资料</w:t>
            </w:r>
            <w:r>
              <w:rPr>
                <w:rFonts w:hint="eastAsia" w:asciiTheme="minorEastAsia" w:hAnsiTheme="minorEastAsia" w:eastAsiaTheme="minorEastAsia" w:cstheme="minorEastAsia"/>
                <w:color w:val="000000"/>
                <w:sz w:val="24"/>
              </w:rPr>
              <w:t xml:space="preserve">                          </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发展对象培训次数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2次</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购买党员学习资料</w:t>
            </w:r>
            <w:r>
              <w:rPr>
                <w:rFonts w:hint="eastAsia" w:asciiTheme="minorEastAsia" w:hAnsiTheme="minorEastAsia" w:eastAsiaTheme="minorEastAsia" w:cstheme="minorEastAsia"/>
                <w:color w:val="000000"/>
                <w:sz w:val="24"/>
                <w:lang w:eastAsia="zh-CN"/>
              </w:rPr>
              <w:t>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等于培训对象人数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等</w:t>
            </w:r>
            <w:r>
              <w:rPr>
                <w:rFonts w:hint="eastAsia" w:asciiTheme="minorEastAsia" w:hAnsiTheme="minorEastAsia" w:eastAsiaTheme="minorEastAsia" w:cstheme="minorEastAsia"/>
                <w:color w:val="000000"/>
                <w:sz w:val="24"/>
              </w:rPr>
              <w:t>于培训对象人数</w:t>
            </w:r>
          </w:p>
        </w:tc>
      </w:tr>
      <w:tr>
        <w:tblPrEx>
          <w:tblCellMar>
            <w:top w:w="0" w:type="dxa"/>
            <w:left w:w="0" w:type="dxa"/>
            <w:bottom w:w="0" w:type="dxa"/>
            <w:right w:w="0" w:type="dxa"/>
          </w:tblCellMar>
        </w:tblPrEx>
        <w:trPr>
          <w:trHeight w:val="90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开展培训时间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9月、11月</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培训及资料购买费用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lang w:eastAsia="zh-CN"/>
              </w:rPr>
              <w:t>万元</w:t>
            </w:r>
            <w:r>
              <w:rPr>
                <w:rFonts w:hint="eastAsia" w:asciiTheme="minorEastAsia" w:hAnsiTheme="minorEastAsia" w:eastAsiaTheme="minorEastAsia" w:cstheme="minorEastAsia"/>
                <w:color w:val="000000"/>
                <w:sz w:val="24"/>
              </w:rPr>
              <w:t>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sz w:val="24"/>
                <w:lang w:val="en-US" w:eastAsia="zh-CN"/>
              </w:rPr>
              <w:t>.05万元</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党员政治素养提升情况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提高党员政治素养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加强党员学习，提升党员政治素质</w:t>
            </w: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参加培训区内党员满意度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满意度≥90%</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90"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劳动关系和劳动仲裁工作经费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党群工作部</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9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8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在区内重点企业和乡镇建立劳动关系调节组织，开展劳动管理调解员培训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完成内重点企业和乡镇建立劳动关系调节组织，开展劳动管理调解员培训</w:t>
            </w:r>
          </w:p>
        </w:tc>
      </w:tr>
      <w:tr>
        <w:tblPrEx>
          <w:tblCellMar>
            <w:top w:w="0" w:type="dxa"/>
            <w:left w:w="0" w:type="dxa"/>
            <w:bottom w:w="0" w:type="dxa"/>
            <w:right w:w="0" w:type="dxa"/>
          </w:tblCellMar>
        </w:tblPrEx>
        <w:trPr>
          <w:trHeight w:val="9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7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建立调解组织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9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建立调解组织时间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11月</w:t>
            </w: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劳动关系和劳动仲裁工作经费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不超过</w:t>
            </w:r>
            <w:r>
              <w:rPr>
                <w:rFonts w:hint="eastAsia" w:ascii="宋体" w:hAnsi="宋体" w:cs="宋体"/>
                <w:color w:val="000000"/>
                <w:sz w:val="24"/>
                <w:lang w:val="en-US" w:eastAsia="zh-CN"/>
              </w:rPr>
              <w:t>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4.99万</w:t>
            </w:r>
          </w:p>
        </w:tc>
      </w:tr>
      <w:tr>
        <w:tblPrEx>
          <w:tblCellMar>
            <w:top w:w="0" w:type="dxa"/>
            <w:left w:w="0" w:type="dxa"/>
            <w:bottom w:w="0" w:type="dxa"/>
            <w:right w:w="0" w:type="dxa"/>
          </w:tblCellMar>
        </w:tblPrEx>
        <w:trPr>
          <w:trHeight w:val="91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8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p>
        </w:tc>
      </w:tr>
      <w:tr>
        <w:tblPrEx>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8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9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spacing w:line="580" w:lineRule="exact"/>
        <w:ind w:firstLine="560" w:firstLineChars="200"/>
        <w:rPr>
          <w:rFonts w:hint="eastAsia" w:asciiTheme="minorEastAsia" w:hAnsiTheme="minorEastAsia" w:eastAsiaTheme="minorEastAsia" w:cstheme="minorEastAsia"/>
          <w:sz w:val="28"/>
          <w:szCs w:val="28"/>
          <w:lang w:val="en-US" w:eastAsia="zh-CN"/>
        </w:rPr>
      </w:pPr>
    </w:p>
    <w:p>
      <w:pPr>
        <w:spacing w:line="580" w:lineRule="exact"/>
        <w:ind w:left="630"/>
        <w:rPr>
          <w:rFonts w:ascii="仿宋_GB2312" w:hAnsi="仿宋_GB2312" w:eastAsia="仿宋_GB2312" w:cs="仿宋_GB2312"/>
          <w:sz w:val="32"/>
          <w:szCs w:val="32"/>
        </w:rPr>
      </w:pP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2.部门绩效评价结果。</w:t>
      </w:r>
    </w:p>
    <w:p>
      <w:pPr>
        <w:spacing w:line="600" w:lineRule="exact"/>
        <w:ind w:firstLine="640"/>
        <w:rPr>
          <w:rFonts w:ascii="仿宋_GB2312" w:eastAsia="仿宋_GB2312"/>
          <w:b/>
          <w:color w:val="000000"/>
          <w:sz w:val="32"/>
          <w:szCs w:val="32"/>
        </w:rPr>
      </w:pPr>
      <w:r>
        <w:rPr>
          <w:rFonts w:hint="eastAsia" w:ascii="仿宋" w:hAnsi="仿宋" w:eastAsia="仿宋" w:cs="仿宋"/>
          <w:kern w:val="0"/>
          <w:sz w:val="32"/>
          <w:szCs w:val="32"/>
          <w:lang w:val="en-US" w:eastAsia="zh-CN" w:bidi="ar-SA"/>
        </w:rPr>
        <w:t>本部门按要求对2019年部门整体支出绩效评价情况开展自评，《党群工作部2019年部门整体支出绩效评价报告》见附件（附件1）。</w:t>
      </w:r>
      <w:r>
        <w:rPr>
          <w:rFonts w:ascii="仿宋_GB2312" w:eastAsia="仿宋_GB2312"/>
          <w:b/>
          <w:color w:val="000000"/>
          <w:sz w:val="32"/>
          <w:szCs w:val="32"/>
        </w:rPr>
        <w:br w:type="page"/>
      </w:r>
    </w:p>
    <w:p>
      <w:pPr>
        <w:numPr>
          <w:ilvl w:val="0"/>
          <w:numId w:val="6"/>
        </w:numPr>
        <w:spacing w:line="600" w:lineRule="exact"/>
        <w:ind w:firstLine="660" w:firstLineChars="150"/>
        <w:jc w:val="center"/>
        <w:outlineLvl w:val="0"/>
        <w:rPr>
          <w:rStyle w:val="24"/>
          <w:rFonts w:ascii="黑体" w:hAnsi="黑体" w:eastAsia="黑体"/>
          <w:b w:val="0"/>
        </w:rPr>
      </w:pPr>
      <w:bookmarkStart w:id="81" w:name="_Toc15396613"/>
      <w:bookmarkStart w:id="82" w:name="_Toc15377225"/>
      <w:bookmarkStart w:id="83" w:name="_Toc6620"/>
      <w:r>
        <w:rPr>
          <w:rFonts w:hint="eastAsia" w:ascii="黑体" w:hAnsi="黑体" w:eastAsia="黑体"/>
          <w:color w:val="000000"/>
          <w:sz w:val="44"/>
          <w:szCs w:val="44"/>
        </w:rPr>
        <w:t>名</w:t>
      </w:r>
      <w:r>
        <w:rPr>
          <w:rStyle w:val="24"/>
          <w:rFonts w:hint="eastAsia" w:ascii="黑体" w:hAnsi="黑体" w:eastAsia="黑体"/>
          <w:b w:val="0"/>
        </w:rPr>
        <w:t>词解释</w:t>
      </w:r>
      <w:bookmarkEnd w:id="81"/>
      <w:bookmarkEnd w:id="82"/>
      <w:bookmarkEnd w:id="83"/>
    </w:p>
    <w:p>
      <w:pPr>
        <w:spacing w:line="600" w:lineRule="exact"/>
        <w:jc w:val="left"/>
        <w:rPr>
          <w:rFonts w:ascii="宋体"/>
          <w:b/>
          <w:color w:val="000000"/>
          <w:sz w:val="44"/>
          <w:szCs w:val="44"/>
        </w:rPr>
      </w:pP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1.财政拨款收入：指单位从同级财政部门取得的财政预算资金。</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2.年初结转和结余：指以前年度尚未完成、结转到本年按有关规定继续使用的资金。 </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3.年末结转和结余：指单位按有关规定结转到下年或以后年度继续使用的资金。</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4.一般公共服务（201）政府办公厅（室）及相关机构事务（03）行政运行（01）: 指行政单位（包括实行公务员管理的事业单位）的基本支出。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5.一般公共服务（201）政府办公厅（室）及相关机构事务（03）一般行政管理事务（02）: 指行政单位（包括实行公务员管理的事业单位）的项目支出。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6.一般公共服务（201）人力资源事务（10）一般行政管理事务（02）: 指行政单位（包括实行公务员管理的事业单位）未单独设置项级科目的其他项目支出。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7.一般公共服务（201）人力资源事务（10）其他人力资源事务支出（99）: 指其他人力资源事务方面支出。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8.一般公共服务（201）民主党派及工商联事务（28）一般行政管理事务（02）: 指民主党派有关支出。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9.一般公共服务（201）群众团体事务（29）一般行政管理事务（02）: 指妇联、共青团相关支出。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10.一般公共服务（201）党委办公厅（室）及相关机构事务（31）一般行政管理事务（02）:指行政单位（包括实行公务员管理的事业单位）未单独设置项级科目的其他项目支出。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11.一般公共服务（201）组织事务（32）一般行政管理事务（02）: 指行政单位（包括实行公务员管理的事业单位）未单独设置项级科目的其他项目支出。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12.一般公共服务（201）其他共产党事务支出（36）行政运行（01）: 指行政单位（包括实行公务员管理的事业单位）的基本支出。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13.一般公共服务（201）其他共产党事务支出（36）一般行政管理事务（02）: 指行政单位（包括实行公务员管理的事业单位）未单独设置项级科目的其他项目支出。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14.社会保障和就业（208）人力资源和社会保障管理事务（01） 其他人力资源和社会保障管理事务支出（99）: 指其他人力资源事务的支出。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15.社会保障和就业（208）就业补助（07）公益性岗位补贴（05）: 指财政对符合条件的就业困难人员在公益性岗位就业给予的岗位补贴。</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16.卫生健康支出（210）公共卫生（04）重大公共卫生专项（09）：指重大疾病预防控制等重大公共卫生服务项目支出。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17.城乡社区支出（212）国有土地使用权出让收入及对应专项债务收入安排的支出（08）补助被征地农民支出（05）：指用于补助被征地农民社会保障支出以及保持被征地农民原有生活水平支出。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18.农林水支出（213）扶贫（05）其他扶贫支出（99）:指其他用于扶贫方面的支出。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19.农林水支出（213）农村综合改革（07） 其他农村综合改革支出（99）:指其他用于农村综合改革方面的支出。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 农林水支出（213）普惠金融发展支出（08） 创业担保贷款贴息（04）:指财政用于符合条件人员从事微利项目创业担保贷款贴息支出。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21.其他支出（229）其他支出（99）其他支出（01）：指不能划分到具体功能科目中的支出项目。</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22.基本支出：指为保障机构正常运转、完成日常工作任务而发生的人员支出和公用支出。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23.项目支出：指在基本支出之外为完成特定行政任务和事业发展目标所发生的支出。 </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24.经营支出：指事业单位在专业业务活动及其辅助活动之外开展非独立核算经营活动发生的支出。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84" w:name="_Toc15377226"/>
      <w:r>
        <w:rPr>
          <w:rFonts w:ascii="宋体"/>
          <w:b/>
          <w:color w:val="000000"/>
          <w:sz w:val="44"/>
          <w:szCs w:val="44"/>
        </w:rPr>
        <w:br w:type="page"/>
      </w:r>
      <w:bookmarkStart w:id="85" w:name="_Toc15396614"/>
      <w:bookmarkStart w:id="86" w:name="_Toc9931"/>
      <w:r>
        <w:rPr>
          <w:rFonts w:hint="eastAsia" w:ascii="黑体" w:hAnsi="黑体" w:eastAsia="黑体"/>
          <w:color w:val="000000"/>
          <w:sz w:val="44"/>
          <w:szCs w:val="44"/>
        </w:rPr>
        <w:t>第</w:t>
      </w:r>
      <w:r>
        <w:rPr>
          <w:rStyle w:val="24"/>
          <w:rFonts w:hint="eastAsia" w:ascii="黑体" w:hAnsi="黑体" w:eastAsia="黑体"/>
          <w:b w:val="0"/>
        </w:rPr>
        <w:t>四部分 附件</w:t>
      </w:r>
      <w:bookmarkEnd w:id="85"/>
      <w:bookmarkEnd w:id="86"/>
    </w:p>
    <w:p>
      <w:pPr>
        <w:pStyle w:val="3"/>
        <w:bidi w:val="0"/>
      </w:pPr>
      <w:bookmarkStart w:id="87" w:name="_Toc20395"/>
      <w:r>
        <w:rPr>
          <w:rFonts w:hint="eastAsia"/>
        </w:rPr>
        <w:t>附件1</w:t>
      </w:r>
      <w:bookmarkEnd w:id="87"/>
    </w:p>
    <w:p>
      <w:pPr>
        <w:spacing w:line="600" w:lineRule="exact"/>
        <w:ind w:firstLine="1929" w:firstLineChars="603"/>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党群工作部部门整体支出绩效报告</w:t>
      </w:r>
    </w:p>
    <w:p>
      <w:pPr>
        <w:spacing w:line="600" w:lineRule="exact"/>
        <w:ind w:firstLine="64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en-US" w:eastAsia="zh-CN" w:bidi="ar-SA"/>
        </w:rPr>
        <w:t>一、</w:t>
      </w:r>
      <w:r>
        <w:rPr>
          <w:rFonts w:hint="eastAsia" w:ascii="仿宋" w:hAnsi="仿宋" w:eastAsia="仿宋" w:cs="仿宋"/>
          <w:kern w:val="0"/>
          <w:sz w:val="32"/>
          <w:szCs w:val="32"/>
          <w:lang w:val="zh-CN" w:eastAsia="zh-CN" w:bidi="ar-SA"/>
        </w:rPr>
        <w:t>部门概况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（一）机构组成:</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zh-CN" w:eastAsia="zh-CN" w:bidi="ar-SA"/>
        </w:rPr>
        <w:t>乐山高新区党群工作部是参照公务员法管理的事业单位，为全额经费拨款单位</w:t>
      </w:r>
      <w:r>
        <w:rPr>
          <w:rFonts w:hint="eastAsia" w:ascii="仿宋" w:hAnsi="仿宋" w:eastAsia="仿宋" w:cs="仿宋"/>
          <w:kern w:val="0"/>
          <w:sz w:val="32"/>
          <w:szCs w:val="32"/>
          <w:lang w:val="en-US" w:eastAsia="zh-CN" w:bidi="ar-SA"/>
        </w:rPr>
        <w:t>。</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（二）机构职能:</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zh-CN" w:eastAsia="zh-CN" w:bidi="ar-SA"/>
        </w:rPr>
        <w:t>负责辖区内基层党组织建设和党员思想教育、管理与发展工作；负责管委会直属机关事业单位及园区企业党的组织建设、思想建设、作风建设、制度建设和党风廉政建设；领导管委会机关工会、团工委、妇委会等机关群团组织；负责辖区内综合协调、研究干部管理；负责机构编制、人事管理、专业技术人员管理、工资福利、军转安置工作；负责劳动关系、劳动保障监察和劳动人事争议调解仲裁工作；负责就业促进、社会保险、职业能力建设等工作。承担党工委、管委会交办的其他工作任务。</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（三）人员概况: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党群工作部现有参公人员4名，管委会聘用人员3名。</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二、部门财政资金收支情况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（一）部门财政资金收入情况。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党群工作部年初预算收入总额为759.96万元。其中：一般公共预算拨款收入339.96万元，基金预算收入为420万元。调整预算收入总额为489.57万元，其中：一般公共预算拨款收入382.4万元，占78.11%；基金预算收入为107.17万元，占21.89%。年初结转结余2.53万元。一般公共预算减少原因为2019年机构改革人员变动，经费减少。</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（二）部门财政资金支出情况。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党群工作部总支出为403.39万元。其中：一般公共财政拨款支出296.22万元，占73.43%。主要用于：一般公共服务支出264.01万元，社会保障和就业支出22.29万元，医疗卫生与计划生育支出1万元，农林水支出5.92万元，其他支出3万元。年末结转结余88.72万元。</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三、部门财政支出管理情况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（一）预决算编制情况。</w:t>
      </w:r>
    </w:p>
    <w:p>
      <w:pPr>
        <w:spacing w:line="600" w:lineRule="exact"/>
        <w:ind w:firstLine="64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en-US" w:eastAsia="zh-CN" w:bidi="ar-SA"/>
        </w:rPr>
        <w:t>2019年党群工作部预算编制工作按照高新区财政局预算编制通知和有关要求，按时完成基础、项目库报送工作，</w:t>
      </w:r>
      <w:r>
        <w:rPr>
          <w:rFonts w:hint="eastAsia" w:ascii="仿宋" w:hAnsi="仿宋" w:eastAsia="仿宋" w:cs="仿宋"/>
          <w:kern w:val="0"/>
          <w:sz w:val="32"/>
          <w:szCs w:val="32"/>
          <w:lang w:val="zh-CN" w:eastAsia="zh-CN" w:bidi="ar-SA"/>
        </w:rPr>
        <w:t>按时执行预算公开</w:t>
      </w:r>
      <w:r>
        <w:rPr>
          <w:rFonts w:hint="eastAsia" w:ascii="仿宋" w:hAnsi="仿宋" w:eastAsia="仿宋" w:cs="仿宋"/>
          <w:kern w:val="0"/>
          <w:sz w:val="32"/>
          <w:szCs w:val="32"/>
          <w:lang w:val="en-US" w:eastAsia="zh-CN" w:bidi="ar-SA"/>
        </w:rPr>
        <w:t>。</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（二）执行管理情况。</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基本支出：较年初预算有所减少，原因为2019年进行机构改革党群工作部减少工作人员，所以减少了人员工作经费。</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年初预算“三公”经费0.5万元，其中公务接待0.5万元，年底预算执行：公务接待0万元，执行率0%。</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项目支出：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1、妇联专项经费，年初预算8万元，调剂两镇3万元，执行4.91万元，预算执行率98.21%。</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2、公益性岗位和劳动派遣管理，年初预算12万元，执行10.69万元，预算执行率89.06%。</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3、就业扶贫开发农村公益性岗位补助资金，年初预算5.92万元，执行5.92万元，预算执行率100%。</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4、党员教育和培训管理经费，年初预算3.5万元，执行3..05万元，预算执行率87.13%。</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5、劳动关系和劳动仲裁工作经费，年初预算5万元，执行4.99万元，预算执行率99.81%。</w:t>
      </w:r>
    </w:p>
    <w:p>
      <w:pPr>
        <w:spacing w:line="600" w:lineRule="exact"/>
        <w:ind w:firstLine="64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党群工作部2019年大部分项目执行情况良好。</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（三）综合管理情况。</w:t>
      </w:r>
    </w:p>
    <w:p>
      <w:pPr>
        <w:spacing w:line="600" w:lineRule="exact"/>
        <w:ind w:firstLine="64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1、我部门严格按照区财政局的要求及时公开2019年预算及“三公”经费预算信息。</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2、我部门无政府性债务、非税收入 ，政府采购实施计划、资产管理、内控制度、信息公开、绩效评价都依法接受财政监督。</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（四）整体绩效。</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2019年在党工委、管委会的领导下，党群工作部切实按照管委会下达的2019年度目标任务要求，加强</w:t>
      </w:r>
      <w:r>
        <w:rPr>
          <w:rFonts w:hint="eastAsia" w:ascii="仿宋" w:hAnsi="仿宋" w:eastAsia="仿宋" w:cs="仿宋"/>
          <w:kern w:val="0"/>
          <w:sz w:val="32"/>
          <w:szCs w:val="32"/>
          <w:lang w:val="zh-CN" w:eastAsia="zh-CN" w:bidi="ar-SA"/>
        </w:rPr>
        <w:t>基层党组织建设和党员思想教育、管理与发展工作；加强管委会直属机关事业单位及园区企业党的组织建设、思想建设、作风建设、制度建设和党风廉政建设；完成辖区内综合协调、研究干部管理工作；完成机构编制、人事管理、专业技术人员管理、军转安置工作；加强劳动监察，维护社会稳定；推动就业扶贫。</w:t>
      </w:r>
      <w:r>
        <w:rPr>
          <w:rFonts w:hint="eastAsia" w:ascii="仿宋" w:hAnsi="仿宋" w:eastAsia="仿宋" w:cs="仿宋"/>
          <w:kern w:val="0"/>
          <w:sz w:val="32"/>
          <w:szCs w:val="32"/>
          <w:lang w:val="en-US" w:eastAsia="zh-CN" w:bidi="ar-SA"/>
        </w:rPr>
        <w:t>圆满完成各项目标任务，整体绩效良好。</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四、评价结论及建议</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（一）评价结论。</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2019年基本支出预算较准确。有些项目的支付时间把握的不太好。因各种因素导致有些项目执行率低，甚至未执行。</w:t>
      </w:r>
    </w:p>
    <w:p>
      <w:pPr>
        <w:spacing w:line="600" w:lineRule="exact"/>
        <w:ind w:firstLine="640"/>
        <w:rPr>
          <w:rFonts w:hint="eastAsia" w:ascii="仿宋" w:hAnsi="仿宋" w:eastAsia="仿宋" w:cs="仿宋"/>
          <w:kern w:val="0"/>
          <w:sz w:val="32"/>
          <w:szCs w:val="32"/>
          <w:lang w:val="zh-CN" w:eastAsia="zh-CN" w:bidi="ar-SA"/>
        </w:rPr>
      </w:pPr>
      <w:r>
        <w:rPr>
          <w:rFonts w:hint="eastAsia" w:ascii="仿宋" w:hAnsi="仿宋" w:eastAsia="仿宋" w:cs="仿宋"/>
          <w:kern w:val="0"/>
          <w:sz w:val="32"/>
          <w:szCs w:val="32"/>
          <w:lang w:val="zh-CN" w:eastAsia="zh-CN" w:bidi="ar-SA"/>
        </w:rPr>
        <w:t>（二）存在问题。</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预算编制不够合理准确，在预算编制中存在部分专项及部门预算编制不够细化的问题，需进一步细化预算编制。</w:t>
      </w:r>
    </w:p>
    <w:p>
      <w:pPr>
        <w:spacing w:line="600" w:lineRule="exact"/>
        <w:ind w:firstLine="64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（三）改进建议。</w:t>
      </w:r>
    </w:p>
    <w:p>
      <w:pPr>
        <w:spacing w:line="600" w:lineRule="exact"/>
        <w:ind w:firstLine="640"/>
        <w:rPr>
          <w:rFonts w:hint="eastAsia"/>
        </w:rPr>
      </w:pPr>
      <w:r>
        <w:rPr>
          <w:rFonts w:hint="eastAsia" w:ascii="仿宋" w:hAnsi="仿宋" w:eastAsia="仿宋" w:cs="仿宋"/>
          <w:kern w:val="0"/>
          <w:sz w:val="32"/>
          <w:szCs w:val="32"/>
          <w:lang w:val="en-US" w:eastAsia="zh-CN" w:bidi="ar-SA"/>
        </w:rPr>
        <w:t>在今后的工作一方面要严格预算编制，做到细化精确，争取一些费用纳入财政预算中；另一方面应充分预算实现的可能性和难度，正确测算收入、支出，并做好财务基础数据的统计工作，将单位的各项预算内外收支全部纳入单位预算，统一核算，统一管理，保证单位预算收支的完整性、准确性。</w:t>
      </w:r>
    </w:p>
    <w:p>
      <w:pPr>
        <w:bidi w:val="0"/>
        <w:rPr>
          <w:rFonts w:hint="eastAsia"/>
        </w:rPr>
      </w:pPr>
    </w:p>
    <w:p>
      <w:pPr>
        <w:pStyle w:val="3"/>
        <w:bidi w:val="0"/>
        <w:rPr>
          <w:rFonts w:hint="eastAsia"/>
        </w:rPr>
      </w:pPr>
    </w:p>
    <w:p>
      <w:pPr>
        <w:pStyle w:val="3"/>
        <w:bidi w:val="0"/>
        <w:rPr>
          <w:rFonts w:hint="eastAsia"/>
        </w:rPr>
      </w:pPr>
    </w:p>
    <w:p>
      <w:pPr>
        <w:rPr>
          <w:rFonts w:hint="eastAsia"/>
        </w:rPr>
      </w:pPr>
    </w:p>
    <w:p>
      <w:pPr>
        <w:pStyle w:val="3"/>
        <w:bidi w:val="0"/>
      </w:pPr>
      <w:bookmarkStart w:id="88" w:name="_Toc18356"/>
      <w:r>
        <w:rPr>
          <w:rFonts w:hint="eastAsia"/>
        </w:rPr>
        <w:t>附件2</w:t>
      </w:r>
      <w:bookmarkEnd w:id="88"/>
    </w:p>
    <w:p>
      <w:pPr>
        <w:bidi w:val="0"/>
        <w:ind w:firstLine="2560" w:firstLineChars="800"/>
        <w:rPr>
          <w:rFonts w:ascii="方正小标宋简体" w:hAnsi="宋体" w:eastAsia="方正小标宋简体"/>
          <w:color w:val="000000"/>
          <w:kern w:val="0"/>
          <w:szCs w:val="44"/>
          <w:lang w:val="zh-CN"/>
        </w:rPr>
      </w:pPr>
      <w:r>
        <w:rPr>
          <w:rFonts w:hint="eastAsia" w:ascii="仿宋" w:hAnsi="仿宋" w:eastAsia="仿宋" w:cs="仿宋"/>
          <w:sz w:val="32"/>
          <w:szCs w:val="32"/>
        </w:rPr>
        <w:t>2019年</w:t>
      </w:r>
      <w:r>
        <w:rPr>
          <w:rFonts w:hint="eastAsia" w:ascii="仿宋" w:hAnsi="仿宋" w:eastAsia="仿宋" w:cs="仿宋"/>
          <w:sz w:val="32"/>
          <w:szCs w:val="32"/>
          <w:lang w:eastAsia="zh-CN"/>
        </w:rPr>
        <w:t>项目</w:t>
      </w:r>
      <w:r>
        <w:rPr>
          <w:rFonts w:hint="eastAsia" w:ascii="仿宋" w:hAnsi="仿宋" w:eastAsia="仿宋" w:cs="仿宋"/>
          <w:sz w:val="32"/>
          <w:szCs w:val="32"/>
          <w:lang w:val="zh-CN"/>
        </w:rPr>
        <w:t>绩效评价报告</w:t>
      </w:r>
    </w:p>
    <w:p>
      <w:pPr>
        <w:spacing w:line="600" w:lineRule="exact"/>
        <w:rPr>
          <w:rFonts w:ascii="宋体" w:hAnsi="宋体"/>
          <w:sz w:val="32"/>
          <w:szCs w:val="32"/>
          <w:lang w:val="zh-CN"/>
        </w:rPr>
      </w:pP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bidi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89" w:name="_Toc15396618"/>
      <w:bookmarkStart w:id="90" w:name="_Toc8843"/>
      <w:r>
        <w:rPr>
          <w:rFonts w:hint="eastAsia" w:ascii="黑体" w:hAnsi="黑体" w:eastAsia="黑体"/>
          <w:color w:val="000000"/>
          <w:sz w:val="44"/>
          <w:szCs w:val="44"/>
        </w:rPr>
        <w:t>第</w:t>
      </w:r>
      <w:r>
        <w:rPr>
          <w:rStyle w:val="24"/>
          <w:rFonts w:hint="eastAsia" w:ascii="黑体" w:hAnsi="黑体" w:eastAsia="黑体"/>
          <w:b w:val="0"/>
        </w:rPr>
        <w:t>五部分 附表</w:t>
      </w:r>
      <w:bookmarkEnd w:id="84"/>
      <w:bookmarkEnd w:id="89"/>
      <w:bookmarkEnd w:id="90"/>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91" w:name="_Toc15396619"/>
      <w:bookmarkStart w:id="92" w:name="_Toc14433"/>
      <w:r>
        <w:rPr>
          <w:rFonts w:hint="eastAsia" w:ascii="仿宋" w:hAnsi="仿宋" w:eastAsia="仿宋"/>
          <w:b w:val="0"/>
          <w:color w:val="000000"/>
        </w:rPr>
        <w:t>一、收</w:t>
      </w:r>
      <w:r>
        <w:rPr>
          <w:rStyle w:val="25"/>
          <w:rFonts w:hint="eastAsia" w:ascii="仿宋" w:hAnsi="仿宋" w:eastAsia="仿宋"/>
          <w:b w:val="0"/>
          <w:bCs w:val="0"/>
        </w:rPr>
        <w:t>入支出决算总表</w:t>
      </w:r>
      <w:bookmarkEnd w:id="91"/>
      <w:bookmarkEnd w:id="92"/>
    </w:p>
    <w:p>
      <w:pPr>
        <w:pStyle w:val="3"/>
        <w:rPr>
          <w:rFonts w:ascii="仿宋" w:hAnsi="仿宋" w:eastAsia="仿宋"/>
          <w:color w:val="000000"/>
        </w:rPr>
      </w:pPr>
      <w:bookmarkStart w:id="93" w:name="_Toc15396620"/>
      <w:bookmarkStart w:id="94" w:name="_Toc30274"/>
      <w:r>
        <w:rPr>
          <w:rFonts w:hint="eastAsia" w:ascii="仿宋" w:hAnsi="仿宋" w:eastAsia="仿宋"/>
          <w:b w:val="0"/>
          <w:color w:val="000000"/>
        </w:rPr>
        <w:t>二、收</w:t>
      </w:r>
      <w:r>
        <w:rPr>
          <w:rStyle w:val="25"/>
          <w:rFonts w:hint="eastAsia" w:ascii="仿宋" w:hAnsi="仿宋" w:eastAsia="仿宋"/>
          <w:b w:val="0"/>
          <w:bCs w:val="0"/>
        </w:rPr>
        <w:t>入决算表</w:t>
      </w:r>
      <w:bookmarkEnd w:id="93"/>
      <w:bookmarkEnd w:id="94"/>
    </w:p>
    <w:p>
      <w:pPr>
        <w:pStyle w:val="3"/>
        <w:rPr>
          <w:rFonts w:ascii="仿宋" w:hAnsi="仿宋" w:eastAsia="仿宋"/>
          <w:color w:val="000000"/>
        </w:rPr>
      </w:pPr>
      <w:bookmarkStart w:id="95" w:name="_Toc15396621"/>
      <w:bookmarkStart w:id="96" w:name="_Toc10023"/>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95"/>
      <w:bookmarkEnd w:id="96"/>
    </w:p>
    <w:p>
      <w:pPr>
        <w:pStyle w:val="3"/>
        <w:rPr>
          <w:rFonts w:ascii="仿宋" w:hAnsi="仿宋" w:eastAsia="仿宋"/>
          <w:b w:val="0"/>
          <w:color w:val="000000"/>
        </w:rPr>
      </w:pPr>
      <w:bookmarkStart w:id="97" w:name="_Toc15396622"/>
      <w:bookmarkStart w:id="98" w:name="_Toc23245"/>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97"/>
      <w:bookmarkEnd w:id="98"/>
    </w:p>
    <w:p>
      <w:pPr>
        <w:pStyle w:val="3"/>
        <w:rPr>
          <w:rStyle w:val="25"/>
          <w:rFonts w:ascii="仿宋" w:hAnsi="仿宋" w:eastAsia="仿宋"/>
          <w:b w:val="0"/>
          <w:bCs w:val="0"/>
        </w:rPr>
      </w:pPr>
      <w:bookmarkStart w:id="99" w:name="_Toc15396623"/>
      <w:bookmarkStart w:id="100" w:name="_Toc6921"/>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9"/>
      <w:bookmarkEnd w:id="100"/>
      <w:bookmarkStart w:id="101" w:name="_Toc15396624"/>
    </w:p>
    <w:p>
      <w:pPr>
        <w:pStyle w:val="3"/>
        <w:rPr>
          <w:rFonts w:ascii="仿宋" w:hAnsi="仿宋" w:eastAsia="仿宋"/>
          <w:color w:val="000000"/>
        </w:rPr>
      </w:pPr>
      <w:bookmarkStart w:id="102" w:name="_Toc32315"/>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01"/>
      <w:bookmarkEnd w:id="102"/>
    </w:p>
    <w:p>
      <w:pPr>
        <w:pStyle w:val="3"/>
        <w:rPr>
          <w:rFonts w:ascii="仿宋" w:hAnsi="仿宋" w:eastAsia="仿宋"/>
          <w:color w:val="000000"/>
        </w:rPr>
      </w:pPr>
      <w:bookmarkStart w:id="103" w:name="_Toc15396625"/>
      <w:bookmarkStart w:id="104" w:name="_Toc2217"/>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03"/>
      <w:bookmarkEnd w:id="104"/>
    </w:p>
    <w:p>
      <w:pPr>
        <w:pStyle w:val="3"/>
        <w:rPr>
          <w:rFonts w:ascii="仿宋" w:hAnsi="仿宋" w:eastAsia="仿宋"/>
          <w:color w:val="000000"/>
        </w:rPr>
      </w:pPr>
      <w:bookmarkStart w:id="105" w:name="_Toc15396626"/>
      <w:bookmarkStart w:id="106" w:name="_Toc11844"/>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05"/>
      <w:bookmarkEnd w:id="106"/>
    </w:p>
    <w:p>
      <w:pPr>
        <w:pStyle w:val="3"/>
        <w:rPr>
          <w:rFonts w:ascii="仿宋" w:hAnsi="仿宋" w:eastAsia="仿宋"/>
          <w:color w:val="000000"/>
        </w:rPr>
      </w:pPr>
      <w:bookmarkStart w:id="107" w:name="_Toc15396627"/>
      <w:bookmarkStart w:id="108" w:name="_Toc305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07"/>
      <w:bookmarkEnd w:id="108"/>
    </w:p>
    <w:p>
      <w:pPr>
        <w:pStyle w:val="3"/>
        <w:rPr>
          <w:rFonts w:ascii="仿宋" w:hAnsi="仿宋" w:eastAsia="仿宋"/>
          <w:color w:val="000000"/>
        </w:rPr>
      </w:pPr>
      <w:bookmarkStart w:id="109" w:name="_Toc15396628"/>
      <w:bookmarkStart w:id="110" w:name="_Toc28636"/>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9"/>
      <w:bookmarkEnd w:id="110"/>
    </w:p>
    <w:p>
      <w:pPr>
        <w:pStyle w:val="3"/>
        <w:rPr>
          <w:rFonts w:ascii="仿宋" w:hAnsi="仿宋" w:eastAsia="仿宋"/>
          <w:color w:val="000000"/>
        </w:rPr>
      </w:pPr>
      <w:bookmarkStart w:id="111" w:name="_Toc15396629"/>
      <w:bookmarkStart w:id="112" w:name="_Toc21493"/>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11"/>
      <w:bookmarkEnd w:id="112"/>
    </w:p>
    <w:p>
      <w:pPr>
        <w:pStyle w:val="3"/>
        <w:rPr>
          <w:rFonts w:ascii="仿宋" w:hAnsi="仿宋" w:eastAsia="仿宋"/>
          <w:color w:val="000000"/>
        </w:rPr>
      </w:pPr>
      <w:bookmarkStart w:id="113" w:name="_Toc15396630"/>
      <w:bookmarkStart w:id="114" w:name="_Toc9229"/>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13"/>
      <w:bookmarkEnd w:id="114"/>
    </w:p>
    <w:p>
      <w:pPr>
        <w:pStyle w:val="3"/>
        <w:rPr>
          <w:rFonts w:ascii="仿宋" w:hAnsi="仿宋" w:eastAsia="仿宋"/>
          <w:color w:val="000000" w:themeColor="text1"/>
          <w14:textFill>
            <w14:solidFill>
              <w14:schemeClr w14:val="tx1"/>
            </w14:solidFill>
          </w14:textFill>
        </w:rPr>
      </w:pPr>
      <w:bookmarkStart w:id="115" w:name="_Toc15396631"/>
      <w:bookmarkStart w:id="116" w:name="_Toc31439"/>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15"/>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4F85EAF"/>
    <w:multiLevelType w:val="multilevel"/>
    <w:tmpl w:val="34F85EAF"/>
    <w:lvl w:ilvl="0" w:tentative="0">
      <w:start w:val="1"/>
      <w:numFmt w:val="chineseCountingThousand"/>
      <w:pStyle w:val="33"/>
      <w:suff w:val="nothing"/>
      <w:lvlText w:val="%1、"/>
      <w:lvlJc w:val="left"/>
      <w:pPr>
        <w:ind w:left="0" w:firstLine="637"/>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4">
    <w:nsid w:val="5B63281F"/>
    <w:multiLevelType w:val="multilevel"/>
    <w:tmpl w:val="5B63281F"/>
    <w:lvl w:ilvl="0" w:tentative="0">
      <w:start w:val="1"/>
      <w:numFmt w:val="decimal"/>
      <w:pStyle w:val="31"/>
      <w:suff w:val="nothing"/>
      <w:lvlText w:val="%1."/>
      <w:lvlJc w:val="left"/>
      <w:pPr>
        <w:ind w:left="216"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5">
    <w:nsid w:val="7EE55BF3"/>
    <w:multiLevelType w:val="multilevel"/>
    <w:tmpl w:val="7EE55BF3"/>
    <w:lvl w:ilvl="0" w:tentative="0">
      <w:start w:val="1"/>
      <w:numFmt w:val="chineseCountingThousand"/>
      <w:pStyle w:val="34"/>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C7C"/>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74B39"/>
    <w:rsid w:val="02F70460"/>
    <w:rsid w:val="0FA7221D"/>
    <w:rsid w:val="10C055FF"/>
    <w:rsid w:val="16BB723D"/>
    <w:rsid w:val="1B972659"/>
    <w:rsid w:val="1F567E56"/>
    <w:rsid w:val="240371BF"/>
    <w:rsid w:val="26735FA8"/>
    <w:rsid w:val="29FD04D3"/>
    <w:rsid w:val="2C1D148C"/>
    <w:rsid w:val="2C2C1270"/>
    <w:rsid w:val="2DD26E45"/>
    <w:rsid w:val="319F7F4E"/>
    <w:rsid w:val="3E37605C"/>
    <w:rsid w:val="3F4525AD"/>
    <w:rsid w:val="3F6B3EFE"/>
    <w:rsid w:val="451F7589"/>
    <w:rsid w:val="47C429D0"/>
    <w:rsid w:val="47D708F9"/>
    <w:rsid w:val="4ECE2238"/>
    <w:rsid w:val="5B986115"/>
    <w:rsid w:val="60243511"/>
    <w:rsid w:val="64F45760"/>
    <w:rsid w:val="6D682C2D"/>
    <w:rsid w:val="70C4115E"/>
    <w:rsid w:val="72734D90"/>
    <w:rsid w:val="7A9726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1">
    <w:name w:val="〖B03〗三级标题"/>
    <w:basedOn w:val="1"/>
    <w:qFormat/>
    <w:uiPriority w:val="0"/>
    <w:pPr>
      <w:numPr>
        <w:ilvl w:val="0"/>
        <w:numId w:val="1"/>
      </w:numPr>
      <w:topLinePunct/>
      <w:spacing w:line="600" w:lineRule="exact"/>
      <w:outlineLvl w:val="2"/>
    </w:pPr>
    <w:rPr>
      <w:rFonts w:ascii="楷体_GB2312" w:hAnsi="Calibri" w:eastAsia="楷体_GB2312"/>
      <w:sz w:val="32"/>
      <w:szCs w:val="32"/>
    </w:rPr>
  </w:style>
  <w:style w:type="paragraph" w:customStyle="1" w:styleId="32">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3">
    <w:name w:val="〖B01〗一级标题"/>
    <w:next w:val="1"/>
    <w:qFormat/>
    <w:uiPriority w:val="0"/>
    <w:pPr>
      <w:numPr>
        <w:ilvl w:val="0"/>
        <w:numId w:val="2"/>
      </w:numPr>
      <w:topLinePunct/>
      <w:spacing w:line="600" w:lineRule="exact"/>
      <w:outlineLvl w:val="0"/>
    </w:pPr>
    <w:rPr>
      <w:rFonts w:ascii="黑体" w:hAnsi="Calibri" w:eastAsia="黑体" w:cs="Times New Roman"/>
      <w:kern w:val="2"/>
      <w:sz w:val="32"/>
      <w:szCs w:val="32"/>
      <w:lang w:val="en-US" w:eastAsia="zh-CN" w:bidi="ar-SA"/>
    </w:rPr>
  </w:style>
  <w:style w:type="paragraph" w:customStyle="1" w:styleId="34">
    <w:name w:val="〖B02〗二级标题"/>
    <w:next w:val="1"/>
    <w:qFormat/>
    <w:uiPriority w:val="0"/>
    <w:pPr>
      <w:widowControl w:val="0"/>
      <w:numPr>
        <w:ilvl w:val="0"/>
        <w:numId w:val="3"/>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a:t>
            </a:r>
            <a:r>
              <a:t>收、支决算变动情况图</a:t>
            </a:r>
          </a:p>
        </c:rich>
      </c:tx>
      <c:layout/>
      <c:overlay val="0"/>
      <c:spPr>
        <a:noFill/>
        <a:ln>
          <a:noFill/>
        </a:ln>
        <a:effectLst/>
      </c:spPr>
    </c:title>
    <c:autoTitleDeleted val="0"/>
    <c:plotArea>
      <c:layout>
        <c:manualLayout>
          <c:layoutTarget val="inner"/>
          <c:xMode val="edge"/>
          <c:yMode val="edge"/>
          <c:x val="0.04245"/>
          <c:y val="0.0981666666666667"/>
          <c:w val="0.927925"/>
          <c:h val="0.716566666666667"/>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271.99</c:v>
                </c:pt>
                <c:pt idx="1">
                  <c:v>269.44</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489.57</c:v>
                </c:pt>
                <c:pt idx="1">
                  <c:v>403.39</c:v>
                </c:pt>
              </c:numCache>
            </c:numRef>
          </c:val>
        </c:ser>
        <c:dLbls>
          <c:showLegendKey val="0"/>
          <c:showVal val="1"/>
          <c:showCatName val="0"/>
          <c:showSerName val="0"/>
          <c:showPercent val="0"/>
          <c:showBubbleSize val="0"/>
        </c:dLbls>
        <c:gapWidth val="219"/>
        <c:overlap val="-27"/>
        <c:axId val="968999875"/>
        <c:axId val="832924454"/>
      </c:barChart>
      <c:catAx>
        <c:axId val="96899987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924454"/>
        <c:crosses val="autoZero"/>
        <c:auto val="1"/>
        <c:lblAlgn val="ctr"/>
        <c:lblOffset val="100"/>
        <c:noMultiLvlLbl val="0"/>
      </c:catAx>
      <c:valAx>
        <c:axId val="8329244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89998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年收入决算结构图</a:t>
            </a:r>
            <a:endParaRPr altLang="en-US"/>
          </a:p>
        </c:rich>
      </c:tx>
      <c:layout>
        <c:manualLayout>
          <c:xMode val="edge"/>
          <c:yMode val="edge"/>
          <c:x val="0.307540205641972"/>
          <c:y val="0.0410901467505241"/>
        </c:manualLayout>
      </c:layout>
      <c:overlay val="0"/>
      <c:spPr>
        <a:noFill/>
        <a:ln>
          <a:noFill/>
        </a:ln>
        <a:effectLst/>
      </c:sp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382.4</c:v>
                </c:pt>
                <c:pt idx="1">
                  <c:v>107.17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76"/>
          <c:y val="0.040473765033221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67.99</c:v>
                </c:pt>
                <c:pt idx="1">
                  <c:v>335.4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a:t>
            </a:r>
          </a:p>
        </c:rich>
      </c:tx>
      <c:layout/>
      <c:overlay val="0"/>
      <c:spPr>
        <a:noFill/>
        <a:ln>
          <a:noFill/>
        </a:ln>
        <a:effectLst/>
      </c:spPr>
    </c:title>
    <c:autoTitleDeleted val="0"/>
    <c:plotArea>
      <c:layout>
        <c:manualLayout>
          <c:layoutTarget val="inner"/>
          <c:xMode val="edge"/>
          <c:yMode val="edge"/>
          <c:x val="0.058825"/>
          <c:y val="0.142333333333333"/>
          <c:w val="0.927925"/>
          <c:h val="0.716566666666667"/>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271.96</c:v>
                </c:pt>
                <c:pt idx="1">
                  <c:v>269.44</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489.57</c:v>
                </c:pt>
                <c:pt idx="1">
                  <c:v>403.38</c:v>
                </c:pt>
              </c:numCache>
            </c:numRef>
          </c:val>
        </c:ser>
        <c:dLbls>
          <c:showLegendKey val="0"/>
          <c:showVal val="0"/>
          <c:showCatName val="0"/>
          <c:showSerName val="0"/>
          <c:showPercent val="0"/>
          <c:showBubbleSize val="0"/>
        </c:dLbls>
        <c:gapWidth val="219"/>
        <c:overlap val="-27"/>
        <c:axId val="138760922"/>
        <c:axId val="942789102"/>
      </c:barChart>
      <c:catAx>
        <c:axId val="1387609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2789102"/>
        <c:crosses val="autoZero"/>
        <c:auto val="1"/>
        <c:lblAlgn val="ctr"/>
        <c:lblOffset val="100"/>
        <c:noMultiLvlLbl val="0"/>
      </c:catAx>
      <c:valAx>
        <c:axId val="9427891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7609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67619171320951"/>
          <c:y val="0.0118986911439742"/>
        </c:manualLayout>
      </c:layout>
      <c:overlay val="0"/>
      <c:spPr>
        <a:noFill/>
        <a:ln>
          <a:noFill/>
        </a:ln>
        <a:effectLst/>
      </c:spPr>
    </c:title>
    <c:autoTitleDeleted val="0"/>
    <c:plotArea>
      <c:layout>
        <c:manualLayout>
          <c:layoutTarget val="inner"/>
          <c:xMode val="edge"/>
          <c:yMode val="edge"/>
          <c:x val="0.0699571372905572"/>
          <c:y val="0.093755466153577"/>
          <c:w val="0.90146772308092"/>
          <c:h val="0.755361203428371"/>
        </c:manualLayout>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269.44</c:v>
                </c:pt>
              </c:numCache>
            </c:numRef>
          </c:val>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296.22</c:v>
                </c:pt>
              </c:numCache>
            </c:numRef>
          </c:val>
        </c:ser>
        <c:dLbls>
          <c:showLegendKey val="0"/>
          <c:showVal val="1"/>
          <c:showCatName val="0"/>
          <c:showSerName val="0"/>
          <c:showPercent val="0"/>
          <c:showBubbleSize val="0"/>
        </c:dLbls>
        <c:gapWidth val="219"/>
        <c:overlap val="-27"/>
        <c:axId val="38117391"/>
        <c:axId val="317050692"/>
      </c:barChart>
      <c:catAx>
        <c:axId val="381173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050692"/>
        <c:crosses val="autoZero"/>
        <c:auto val="1"/>
        <c:lblAlgn val="ctr"/>
        <c:lblOffset val="100"/>
        <c:noMultiLvlLbl val="0"/>
      </c:catAx>
      <c:valAx>
        <c:axId val="3170506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17391"/>
        <c:crosses val="autoZero"/>
        <c:crossBetween val="between"/>
        <c:majorUnit val="10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9272863944192"/>
          <c:y val="0.0473618826333161"/>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卫生健康支出</c:v>
                </c:pt>
                <c:pt idx="3">
                  <c:v>农林水支出</c:v>
                </c:pt>
                <c:pt idx="4">
                  <c:v>其他支出</c:v>
                </c:pt>
              </c:strCache>
            </c:strRef>
          </c:cat>
          <c:val>
            <c:numRef>
              <c:f>Sheet1!$B$2:$B$6</c:f>
              <c:numCache>
                <c:formatCode>General</c:formatCode>
                <c:ptCount val="5"/>
                <c:pt idx="0">
                  <c:v>264.01</c:v>
                </c:pt>
                <c:pt idx="1">
                  <c:v>22.29</c:v>
                </c:pt>
                <c:pt idx="2">
                  <c:v>1</c:v>
                </c:pt>
                <c:pt idx="3">
                  <c:v>5.92</c:v>
                </c:pt>
                <c:pt idx="4">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6</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种花家</cp:lastModifiedBy>
  <cp:lastPrinted>2020-09-21T09:27:00Z</cp:lastPrinted>
  <dcterms:modified xsi:type="dcterms:W3CDTF">2021-07-09T01:21:14Z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5304A2339B6B4A5C8F936EFCF28EC893</vt:lpwstr>
  </property>
</Properties>
</file>