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8BD18">
      <w:pPr>
        <w:spacing w:line="600" w:lineRule="exact"/>
        <w:outlineLvl w:val="0"/>
        <w:rPr>
          <w:rFonts w:ascii="方正小标宋简体" w:hAnsi="宋体" w:eastAsia="方正小标宋简体"/>
          <w:color w:val="000000"/>
          <w:sz w:val="72"/>
          <w:szCs w:val="72"/>
        </w:rPr>
      </w:pPr>
      <w:bookmarkStart w:id="0" w:name="_Toc15306267"/>
    </w:p>
    <w:p w14:paraId="3864FB4B">
      <w:pPr>
        <w:spacing w:line="600" w:lineRule="exact"/>
        <w:outlineLvl w:val="0"/>
        <w:rPr>
          <w:rFonts w:ascii="方正小标宋简体" w:hAnsi="宋体" w:eastAsia="方正小标宋简体"/>
          <w:color w:val="000000"/>
          <w:sz w:val="72"/>
          <w:szCs w:val="72"/>
        </w:rPr>
      </w:pPr>
    </w:p>
    <w:p w14:paraId="4379B157">
      <w:pPr>
        <w:spacing w:line="600" w:lineRule="exact"/>
        <w:outlineLvl w:val="0"/>
        <w:rPr>
          <w:rFonts w:ascii="方正小标宋简体" w:hAnsi="宋体" w:eastAsia="方正小标宋简体"/>
          <w:color w:val="000000"/>
          <w:sz w:val="72"/>
          <w:szCs w:val="72"/>
        </w:rPr>
      </w:pPr>
    </w:p>
    <w:p w14:paraId="501F99E4">
      <w:pPr>
        <w:spacing w:line="600" w:lineRule="exact"/>
        <w:outlineLvl w:val="0"/>
        <w:rPr>
          <w:rFonts w:ascii="方正小标宋简体" w:hAnsi="宋体" w:eastAsia="方正小标宋简体"/>
          <w:color w:val="000000"/>
          <w:sz w:val="72"/>
          <w:szCs w:val="72"/>
        </w:rPr>
      </w:pPr>
    </w:p>
    <w:p w14:paraId="31FF7F8D">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77425"/>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14:paraId="29511228">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77194"/>
      <w:bookmarkStart w:id="9" w:name="_Toc15396598"/>
      <w:bookmarkStart w:id="10" w:name="_Toc15306268"/>
      <w:bookmarkStart w:id="11" w:name="_Toc15378442"/>
      <w:r>
        <w:rPr>
          <w:rFonts w:hint="eastAsia" w:ascii="方正小标宋简体" w:hAnsi="宋体" w:eastAsia="方正小标宋简体"/>
          <w:color w:val="000000"/>
          <w:sz w:val="72"/>
          <w:szCs w:val="72"/>
        </w:rPr>
        <w:t>乐山高新区党工委办公室</w:t>
      </w:r>
    </w:p>
    <w:p w14:paraId="50C9018F">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57385D87">
      <w:pPr>
        <w:adjustRightInd w:val="0"/>
        <w:snapToGrid w:val="0"/>
        <w:spacing w:line="360" w:lineRule="auto"/>
        <w:outlineLvl w:val="0"/>
        <w:rPr>
          <w:rFonts w:ascii="方正小标宋简体" w:hAnsi="宋体" w:eastAsia="方正小标宋简体"/>
          <w:color w:val="000000"/>
          <w:sz w:val="52"/>
          <w:szCs w:val="52"/>
        </w:rPr>
      </w:pPr>
    </w:p>
    <w:p w14:paraId="1D24E20E">
      <w:pPr>
        <w:widowControl/>
        <w:spacing w:line="600" w:lineRule="exact"/>
        <w:jc w:val="center"/>
        <w:rPr>
          <w:rFonts w:ascii="方正小标宋简体" w:hAnsi="黑体" w:eastAsia="方正小标宋简体"/>
          <w:color w:val="000000"/>
          <w:sz w:val="44"/>
          <w:szCs w:val="44"/>
        </w:rPr>
      </w:pPr>
      <w:r>
        <w:rPr>
          <w:rFonts w:ascii="方正小标宋简体" w:hAnsi="宋体" w:eastAsia="方正小标宋简体"/>
          <w:color w:val="000000"/>
          <w:sz w:val="36"/>
          <w:szCs w:val="36"/>
        </w:rPr>
        <w:br w:type="page"/>
      </w:r>
      <w:r>
        <w:rPr>
          <w:rFonts w:hint="eastAsia" w:ascii="方正小标宋简体" w:hAnsi="黑体" w:eastAsia="方正小标宋简体"/>
          <w:color w:val="000000"/>
          <w:sz w:val="44"/>
          <w:szCs w:val="44"/>
        </w:rPr>
        <w:t>目录</w:t>
      </w:r>
    </w:p>
    <w:p w14:paraId="7998F599">
      <w:pPr>
        <w:spacing w:line="300" w:lineRule="exact"/>
      </w:pPr>
    </w:p>
    <w:p w14:paraId="59262396">
      <w:pPr>
        <w:jc w:val="center"/>
      </w:pPr>
      <w:r>
        <w:rPr>
          <w:rFonts w:hint="eastAsia"/>
        </w:rPr>
        <w:t>公开时间：2020年9月29日</w:t>
      </w:r>
    </w:p>
    <w:p w14:paraId="0C227226">
      <w:pPr>
        <w:spacing w:line="300" w:lineRule="exact"/>
      </w:pPr>
    </w:p>
    <w:p w14:paraId="1C612F10">
      <w:pPr>
        <w:rPr>
          <w:rFonts w:ascii="黑体" w:hAnsi="黑体" w:eastAsia="黑体"/>
        </w:rPr>
      </w:pPr>
      <w:r>
        <w:rPr>
          <w:rFonts w:hint="eastAsia" w:ascii="黑体" w:hAnsi="黑体" w:eastAsia="黑体"/>
        </w:rPr>
        <w:t>第一部分部门概况</w:t>
      </w:r>
    </w:p>
    <w:p w14:paraId="3896A0BE">
      <w:pPr>
        <w:ind w:firstLine="632" w:firstLineChars="200"/>
      </w:pPr>
      <w:r>
        <w:rPr>
          <w:rFonts w:hint="eastAsia"/>
        </w:rPr>
        <w:t>一、基本职能及主要工作</w:t>
      </w:r>
    </w:p>
    <w:p w14:paraId="22ED6DEA">
      <w:pPr>
        <w:ind w:firstLine="632" w:firstLineChars="200"/>
      </w:pPr>
      <w:r>
        <w:rPr>
          <w:rFonts w:hint="eastAsia"/>
        </w:rPr>
        <w:t>二、机构设置</w:t>
      </w:r>
    </w:p>
    <w:p w14:paraId="42DC69C0">
      <w:pPr>
        <w:rPr>
          <w:rFonts w:ascii="黑体" w:hAnsi="黑体" w:eastAsia="黑体"/>
        </w:rPr>
      </w:pPr>
      <w:r>
        <w:rPr>
          <w:rFonts w:hint="eastAsia" w:ascii="黑体" w:hAnsi="黑体" w:eastAsia="黑体"/>
        </w:rPr>
        <w:t>第二部分 2019年度部门决算情况说明</w:t>
      </w:r>
    </w:p>
    <w:p w14:paraId="75A1683D">
      <w:pPr>
        <w:ind w:firstLine="632" w:firstLineChars="200"/>
      </w:pPr>
      <w:r>
        <w:rPr>
          <w:rFonts w:hint="eastAsia"/>
        </w:rPr>
        <w:t>一、收入支出决算总体情况说明</w:t>
      </w:r>
    </w:p>
    <w:p w14:paraId="6FBE9156">
      <w:pPr>
        <w:ind w:firstLine="632" w:firstLineChars="200"/>
      </w:pPr>
      <w:r>
        <w:rPr>
          <w:rFonts w:hint="eastAsia"/>
        </w:rPr>
        <w:t>二、收入决算情况说明</w:t>
      </w:r>
    </w:p>
    <w:p w14:paraId="7D5AF479">
      <w:pPr>
        <w:ind w:firstLine="632" w:firstLineChars="200"/>
      </w:pPr>
      <w:r>
        <w:rPr>
          <w:rFonts w:hint="eastAsia"/>
        </w:rPr>
        <w:t>三、支出决算情况说明</w:t>
      </w:r>
    </w:p>
    <w:p w14:paraId="4CAF3DB3">
      <w:pPr>
        <w:ind w:firstLine="632" w:firstLineChars="200"/>
      </w:pPr>
      <w:r>
        <w:rPr>
          <w:rFonts w:hint="eastAsia"/>
        </w:rPr>
        <w:t>四、财政拨款收入支出决算总体情况说明</w:t>
      </w:r>
    </w:p>
    <w:p w14:paraId="11CDEF97">
      <w:pPr>
        <w:ind w:firstLine="632" w:firstLineChars="200"/>
      </w:pPr>
      <w:r>
        <w:rPr>
          <w:rFonts w:hint="eastAsia"/>
        </w:rPr>
        <w:t>五、一般公共预算财政拨款支出决算情况说明</w:t>
      </w:r>
    </w:p>
    <w:p w14:paraId="3761BD7F">
      <w:pPr>
        <w:ind w:firstLine="632" w:firstLineChars="200"/>
      </w:pPr>
      <w:r>
        <w:rPr>
          <w:rFonts w:hint="eastAsia"/>
        </w:rPr>
        <w:t>六、一般公共预算财政拨款基本支出决算情况说明</w:t>
      </w:r>
    </w:p>
    <w:p w14:paraId="5B366CB5">
      <w:pPr>
        <w:ind w:firstLine="632" w:firstLineChars="200"/>
      </w:pPr>
      <w:r>
        <w:rPr>
          <w:rFonts w:hint="eastAsia"/>
        </w:rPr>
        <w:t>七、</w:t>
      </w:r>
      <w:r>
        <w:t>“</w:t>
      </w:r>
      <w:r>
        <w:rPr>
          <w:rFonts w:hint="eastAsia"/>
        </w:rPr>
        <w:t>三公”经费财政拨款支出决算情况说明</w:t>
      </w:r>
    </w:p>
    <w:p w14:paraId="26CBDF27">
      <w:pPr>
        <w:ind w:firstLine="632" w:firstLineChars="200"/>
      </w:pPr>
      <w:r>
        <w:rPr>
          <w:rFonts w:hint="eastAsia"/>
        </w:rPr>
        <w:t>八、政府性基金预算支出决算情况说明</w:t>
      </w:r>
    </w:p>
    <w:p w14:paraId="5959E384">
      <w:pPr>
        <w:ind w:firstLine="632" w:firstLineChars="200"/>
      </w:pPr>
      <w:r>
        <w:rPr>
          <w:rFonts w:hint="eastAsia"/>
        </w:rPr>
        <w:t>九、</w:t>
      </w:r>
      <w:r>
        <w:t>国</w:t>
      </w:r>
      <w:r>
        <w:rPr>
          <w:rFonts w:hint="eastAsia"/>
        </w:rPr>
        <w:t>有资本经营预算支出决算情况说明</w:t>
      </w:r>
    </w:p>
    <w:p w14:paraId="16E6E09C">
      <w:pPr>
        <w:ind w:firstLine="632" w:firstLineChars="200"/>
      </w:pPr>
      <w:r>
        <w:rPr>
          <w:rFonts w:hint="eastAsia"/>
        </w:rPr>
        <w:t>十、其他重要事项的情况说明</w:t>
      </w:r>
      <w:r>
        <w:tab/>
      </w:r>
    </w:p>
    <w:p w14:paraId="60827210">
      <w:pPr>
        <w:rPr>
          <w:rFonts w:ascii="黑体" w:hAnsi="黑体" w:eastAsia="黑体"/>
        </w:rPr>
      </w:pPr>
      <w:r>
        <w:rPr>
          <w:rFonts w:hint="eastAsia" w:ascii="黑体" w:hAnsi="黑体" w:eastAsia="黑体"/>
        </w:rPr>
        <w:t>第三部分名词解释</w:t>
      </w:r>
    </w:p>
    <w:p w14:paraId="51FAF57E">
      <w:pPr>
        <w:rPr>
          <w:rFonts w:ascii="黑体" w:hAnsi="黑体" w:eastAsia="黑体"/>
        </w:rPr>
      </w:pPr>
      <w:r>
        <w:rPr>
          <w:rFonts w:hint="eastAsia" w:ascii="黑体" w:hAnsi="黑体" w:eastAsia="黑体"/>
        </w:rPr>
        <w:t>第四部分附件</w:t>
      </w:r>
    </w:p>
    <w:p w14:paraId="1311546E">
      <w:pPr>
        <w:ind w:firstLine="632" w:firstLineChars="200"/>
      </w:pPr>
      <w:r>
        <w:t>2019年部门</w:t>
      </w:r>
      <w:r>
        <w:rPr>
          <w:rFonts w:hint="eastAsia"/>
        </w:rPr>
        <w:t>整体支出绩效评价报告</w:t>
      </w:r>
    </w:p>
    <w:p w14:paraId="6C60594F">
      <w:pPr>
        <w:rPr>
          <w:rFonts w:ascii="黑体" w:hAnsi="黑体" w:eastAsia="黑体"/>
        </w:rPr>
      </w:pPr>
      <w:r>
        <w:rPr>
          <w:rFonts w:hint="eastAsia" w:ascii="黑体" w:hAnsi="黑体" w:eastAsia="黑体"/>
        </w:rPr>
        <w:t>第五部分附表</w:t>
      </w:r>
    </w:p>
    <w:p w14:paraId="11853BC3">
      <w:pPr>
        <w:ind w:firstLine="632" w:firstLineChars="200"/>
      </w:pPr>
      <w:r>
        <w:rPr>
          <w:rFonts w:hint="eastAsia"/>
        </w:rPr>
        <w:t>一、收入支出决算总表</w:t>
      </w:r>
    </w:p>
    <w:p w14:paraId="35ACFC35">
      <w:pPr>
        <w:ind w:firstLine="632" w:firstLineChars="200"/>
      </w:pPr>
      <w:r>
        <w:rPr>
          <w:rFonts w:hint="eastAsia"/>
        </w:rPr>
        <w:t>二、收入决算表</w:t>
      </w:r>
    </w:p>
    <w:p w14:paraId="11E33DC0">
      <w:pPr>
        <w:ind w:firstLine="632" w:firstLineChars="200"/>
      </w:pPr>
      <w:r>
        <w:rPr>
          <w:rFonts w:hint="eastAsia"/>
        </w:rPr>
        <w:t>三、支出决算表</w:t>
      </w:r>
    </w:p>
    <w:p w14:paraId="23D9DB4D">
      <w:pPr>
        <w:ind w:firstLine="632" w:firstLineChars="200"/>
      </w:pPr>
      <w:r>
        <w:rPr>
          <w:rFonts w:hint="eastAsia"/>
        </w:rPr>
        <w:t>四、财政拨款收入支出决算总表</w:t>
      </w:r>
    </w:p>
    <w:p w14:paraId="351CB52E">
      <w:pPr>
        <w:ind w:firstLine="632" w:firstLineChars="200"/>
      </w:pPr>
      <w:r>
        <w:rPr>
          <w:rFonts w:hint="eastAsia"/>
        </w:rPr>
        <w:t>五、财政拨款支出决算明细表</w:t>
      </w:r>
    </w:p>
    <w:p w14:paraId="0F1EB95B">
      <w:pPr>
        <w:ind w:firstLine="632" w:firstLineChars="200"/>
      </w:pPr>
      <w:r>
        <w:rPr>
          <w:rFonts w:hint="eastAsia"/>
        </w:rPr>
        <w:t>六、一般公共预算财政拨款支出决算表</w:t>
      </w:r>
    </w:p>
    <w:p w14:paraId="673164EE">
      <w:pPr>
        <w:ind w:firstLine="632" w:firstLineChars="200"/>
      </w:pPr>
      <w:r>
        <w:rPr>
          <w:rFonts w:hint="eastAsia"/>
        </w:rPr>
        <w:t>七、一般公共预算财政拨款支出决算明细表</w:t>
      </w:r>
    </w:p>
    <w:p w14:paraId="081C75A4">
      <w:pPr>
        <w:ind w:firstLine="632" w:firstLineChars="200"/>
      </w:pPr>
      <w:r>
        <w:rPr>
          <w:rFonts w:hint="eastAsia"/>
        </w:rPr>
        <w:t>八、一般公共预算财政拨款基本支出决算表</w:t>
      </w:r>
    </w:p>
    <w:p w14:paraId="143CB97C">
      <w:pPr>
        <w:ind w:firstLine="632" w:firstLineChars="200"/>
      </w:pPr>
      <w:r>
        <w:rPr>
          <w:rFonts w:hint="eastAsia"/>
        </w:rPr>
        <w:t>九、一般公共预算财政拨款项目支出决算表</w:t>
      </w:r>
    </w:p>
    <w:p w14:paraId="61D8C48D">
      <w:pPr>
        <w:ind w:firstLine="632" w:firstLineChars="200"/>
      </w:pPr>
      <w:r>
        <w:rPr>
          <w:rFonts w:hint="eastAsia"/>
        </w:rPr>
        <w:t>十、一般公共预算财政拨款“三公”经费支出决算表</w:t>
      </w:r>
    </w:p>
    <w:p w14:paraId="5177C44E">
      <w:pPr>
        <w:ind w:firstLine="632" w:firstLineChars="200"/>
      </w:pPr>
      <w:r>
        <w:rPr>
          <w:rFonts w:hint="eastAsia"/>
        </w:rPr>
        <w:t>十一、政府性基金预算财政拨款收入支出决算表</w:t>
      </w:r>
    </w:p>
    <w:p w14:paraId="79C97F29">
      <w:pPr>
        <w:ind w:firstLine="632" w:firstLineChars="200"/>
      </w:pPr>
      <w:r>
        <w:rPr>
          <w:rFonts w:hint="eastAsia"/>
        </w:rPr>
        <w:t>十二、政府性基金预算财政拨款“三公”经费支出决算表</w:t>
      </w:r>
    </w:p>
    <w:p w14:paraId="59C12643">
      <w:pPr>
        <w:ind w:firstLine="632" w:firstLineChars="200"/>
      </w:pPr>
      <w:r>
        <w:rPr>
          <w:rFonts w:hint="eastAsia"/>
        </w:rPr>
        <w:t>十三、国有资本经营预算支出决算表</w:t>
      </w:r>
    </w:p>
    <w:p w14:paraId="056B1938">
      <w:pPr>
        <w:widowControl/>
        <w:spacing w:line="440" w:lineRule="exac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241AC908">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第一部分 部门概况</w:t>
      </w:r>
      <w:bookmarkEnd w:id="12"/>
      <w:bookmarkEnd w:id="13"/>
    </w:p>
    <w:p w14:paraId="25E7B75C">
      <w:pPr>
        <w:widowControl/>
        <w:rPr>
          <w:rFonts w:ascii="黑体" w:eastAsia="黑体"/>
          <w:color w:val="000000"/>
          <w:szCs w:val="32"/>
        </w:rPr>
      </w:pPr>
    </w:p>
    <w:p w14:paraId="0E272810">
      <w:pPr>
        <w:ind w:firstLine="632" w:firstLineChars="200"/>
        <w:rPr>
          <w:rFonts w:ascii="黑体" w:hAnsi="黑体" w:eastAsia="黑体"/>
        </w:rPr>
      </w:pPr>
      <w:bookmarkStart w:id="14" w:name="_Toc15377197"/>
      <w:bookmarkStart w:id="15" w:name="_Toc15396600"/>
      <w:r>
        <w:rPr>
          <w:rFonts w:hint="eastAsia" w:ascii="黑体" w:hAnsi="黑体" w:eastAsia="黑体"/>
        </w:rPr>
        <w:t>一、基本职能及主要工作</w:t>
      </w:r>
      <w:bookmarkEnd w:id="14"/>
      <w:bookmarkEnd w:id="15"/>
      <w:bookmarkStart w:id="16" w:name="_Toc15378445"/>
      <w:bookmarkStart w:id="17" w:name="_Toc15377198"/>
    </w:p>
    <w:p w14:paraId="35CE7053">
      <w:pPr>
        <w:ind w:firstLine="632" w:firstLineChars="200"/>
        <w:rPr>
          <w:rFonts w:ascii="楷体_GB2312" w:eastAsia="楷体_GB2312"/>
        </w:rPr>
      </w:pPr>
      <w:r>
        <w:rPr>
          <w:rFonts w:hint="eastAsia" w:ascii="楷体_GB2312" w:eastAsia="楷体_GB2312"/>
        </w:rPr>
        <w:t>（一）主要职能</w:t>
      </w:r>
    </w:p>
    <w:p w14:paraId="1C969EB4">
      <w:pPr>
        <w:ind w:firstLine="632" w:firstLineChars="200"/>
      </w:pPr>
      <w:r>
        <w:rPr>
          <w:rFonts w:hint="eastAsia"/>
        </w:rPr>
        <w:t>综合协调党工委、管委会党务政务活动；负责目标绩效、督查督办、政策法规、信息调研、机要保密、机关事务、党务政务公开等；负责人大、政协联络工作；承担党工委、管委会交办的其他工作任务。</w:t>
      </w:r>
      <w:bookmarkEnd w:id="16"/>
      <w:bookmarkEnd w:id="17"/>
      <w:bookmarkStart w:id="18" w:name="_Toc15377199"/>
      <w:bookmarkStart w:id="19" w:name="_Toc15378446"/>
    </w:p>
    <w:p w14:paraId="0C4D2E31">
      <w:pPr>
        <w:ind w:firstLine="632" w:firstLineChars="200"/>
        <w:rPr>
          <w:rFonts w:ascii="楷体_GB2312" w:eastAsia="楷体_GB2312"/>
        </w:rPr>
      </w:pPr>
      <w:r>
        <w:rPr>
          <w:rFonts w:hint="eastAsia" w:ascii="楷体_GB2312" w:eastAsia="楷体_GB2312"/>
        </w:rPr>
        <w:t>（二）2019年重点工作完成情况</w:t>
      </w:r>
      <w:bookmarkEnd w:id="18"/>
      <w:bookmarkEnd w:id="19"/>
    </w:p>
    <w:p w14:paraId="281AF7F6">
      <w:pPr>
        <w:ind w:firstLine="632" w:firstLineChars="200"/>
      </w:pPr>
      <w:r>
        <w:t>党工委办公室在党工委、管委会的坚强领导下，坚定以习近平新时代中国特色社会主义思想为指导，认真学习贯彻党的</w:t>
      </w:r>
      <w:r>
        <w:rPr>
          <w:rFonts w:hint="eastAsia"/>
        </w:rPr>
        <w:t>十九大和</w:t>
      </w:r>
      <w:r>
        <w:t>十九届</w:t>
      </w:r>
      <w:r>
        <w:rPr>
          <w:rFonts w:hint="eastAsia"/>
        </w:rPr>
        <w:t>二中、三中、</w:t>
      </w:r>
      <w:r>
        <w:t>四中全会精神，紧扣高新区“总部经济聚集区”发展定位，围绕“三年大变样”工作目标，强化“三个服务”，积极发挥政治把关、参谋助手、统筹协调、督办落实、</w:t>
      </w:r>
      <w:r>
        <w:rPr>
          <w:rFonts w:hint="eastAsia"/>
        </w:rPr>
        <w:t>信息</w:t>
      </w:r>
      <w:r>
        <w:t>宣传、服务保障作用，</w:t>
      </w:r>
      <w:r>
        <w:rPr>
          <w:rFonts w:hint="eastAsia"/>
        </w:rPr>
        <w:t>综合协调有序高效，文秘工作严谨规范，信息宣传亮点突出，目标督查有力有效，后勤保障精细到位，</w:t>
      </w:r>
      <w:r>
        <w:t>较好完成了各项工作任务。</w:t>
      </w:r>
    </w:p>
    <w:p w14:paraId="0979B71C">
      <w:pPr>
        <w:ind w:firstLine="632" w:firstLineChars="200"/>
      </w:pPr>
      <w:r>
        <w:rPr>
          <w:rFonts w:hint="eastAsia"/>
        </w:rPr>
        <w:t>1.提高政治站位</w:t>
      </w:r>
      <w:r>
        <w:t>，打造</w:t>
      </w:r>
      <w:r>
        <w:rPr>
          <w:rFonts w:hint="eastAsia"/>
        </w:rPr>
        <w:t>过硬</w:t>
      </w:r>
      <w:r>
        <w:t>队伍。坚持把学习贯彻习近平新时代中国特色社会主义思想作为重中之重，扎实开展“不忘初心、牢记使命”主题教育，</w:t>
      </w:r>
      <w:r>
        <w:rPr>
          <w:rFonts w:hint="eastAsia"/>
        </w:rPr>
        <w:t>经常进行党性分析和“政治体检”，坚持把党办作为表率部门，力求想在前、谋在前、干在前。牵头开展巡视巡察反馈问题整改工作，深化以巡促改、以案促改，推动内部管理规范化、制度化建设，建立完善《岗位责任制管理》《公章管理》等规章制度。以“岗位责任制管理”为抓手，培养了一批岗位能手和业务标兵，提升了办公室干部职工独当一面和团队协作能力。全年6名同志获得市区两级先进表扬。不断加强机关党建，认真践行“忠诚、干净、担当”的政治要求，</w:t>
      </w:r>
      <w:r>
        <w:t>促进党风廉政建设</w:t>
      </w:r>
      <w:r>
        <w:rPr>
          <w:rFonts w:hint="eastAsia"/>
        </w:rPr>
        <w:t>向</w:t>
      </w:r>
      <w:r>
        <w:t>纵深发展，不断提高政治自觉、思想自觉和行动自觉。</w:t>
      </w:r>
    </w:p>
    <w:p w14:paraId="4378AC7C">
      <w:pPr>
        <w:ind w:firstLine="632" w:firstLineChars="200"/>
      </w:pPr>
      <w:r>
        <w:rPr>
          <w:rFonts w:hint="eastAsia"/>
        </w:rPr>
        <w:t>2.</w:t>
      </w:r>
      <w:r>
        <w:t>突出智力服务，提升辅政水平。</w:t>
      </w:r>
      <w:r>
        <w:rPr>
          <w:rFonts w:hint="eastAsia"/>
        </w:rPr>
        <w:t>充分发挥以文辅政作用，主动围绕党工委、管委会中心工作，紧扣“总部经济、创新高地、现代新城”三位一体发展定位，“4+1”现代产业体系构建以及高质量发展，强化文稿信息工作，组织重点课题研究，挖掘特色信息，</w:t>
      </w:r>
      <w:r>
        <w:t>高质量完成各项目标任务</w:t>
      </w:r>
      <w:r>
        <w:rPr>
          <w:rFonts w:hint="eastAsia"/>
        </w:rPr>
        <w:t>，形成了《提升高新区发展能级的思考》《高新区打造千亿产业的构想》等一批调研成果</w:t>
      </w:r>
      <w:r>
        <w:t>。</w:t>
      </w:r>
      <w:r>
        <w:rPr>
          <w:rFonts w:hint="eastAsia"/>
        </w:rPr>
        <w:t>围绕三年大变样，推出了系列特色信息和宣传报道，信息工作被市政府评为先进单位。加强信息公开工作，推进政务新媒体建设，网站建设在全市工作会上作了交流发言。</w:t>
      </w:r>
    </w:p>
    <w:p w14:paraId="1214BA2E">
      <w:pPr>
        <w:ind w:firstLine="632" w:firstLineChars="200"/>
      </w:pPr>
      <w:r>
        <w:rPr>
          <w:rFonts w:hint="eastAsia"/>
        </w:rPr>
        <w:t>3.</w:t>
      </w:r>
      <w:r>
        <w:t>鲜明</w:t>
      </w:r>
      <w:r>
        <w:rPr>
          <w:rFonts w:hint="eastAsia"/>
        </w:rPr>
        <w:t>实干</w:t>
      </w:r>
      <w:r>
        <w:t>导向，督促推动落实。</w:t>
      </w:r>
      <w:r>
        <w:rPr>
          <w:rFonts w:hint="eastAsia"/>
        </w:rPr>
        <w:t>始终坚持上级和党工委、管委会工作部署到哪里，督促检查工作就跟进到哪里，突出重点、改进方式、提升实效。制定《2019年党工委、管委会督查工作计划》，突出“挂图作战”“PPP项目挂图施工”“挂图招商”“挂图征拆”“挂图创新”“十件高新大事”“十件民生实事”等，实施重点跟踪督导。创新督查方式，运用“乐高创业群”等载体进行“亮、晒、逼、究”，促进“比学赶超”。按照“清单制+责任制+时限制”方式，台账式管理，推动领导指示批示事项的督办落实。督促推动形式主义、官僚主义问题整治。坚持督查督办与目标绩效管理联动、结果挂钩，在推进落实上级决策部署、巡察整改、项目落实集中攻坚、双创工作、目标任务执行等重大工作中取得较好效果。</w:t>
      </w:r>
    </w:p>
    <w:p w14:paraId="4F6227FB">
      <w:pPr>
        <w:ind w:firstLine="632" w:firstLineChars="200"/>
      </w:pPr>
      <w:r>
        <w:rPr>
          <w:rFonts w:hint="eastAsia"/>
        </w:rPr>
        <w:t>4.</w:t>
      </w:r>
      <w:r>
        <w:t>注重统筹兼顾，提高服务水平。坚持把“领导满意、部门认可、群众满意”作为党工委办工作基本要求，全力做好保障服务工作，确保机关运转有序、高效安全。</w:t>
      </w:r>
      <w:r>
        <w:rPr>
          <w:rFonts w:hint="eastAsia"/>
        </w:rPr>
        <w:t>健全机关事务管理制度，完善机关后勤服务、公务用车监管等各项规章制度，提高后勤服务质量和水平，健全后勤服务和安全监管措施。加强机关内部控制，强化了节约型、廉洁型机关建设。不断规范工作环境和办公秩序，定期排查安全隐患，保证机关办公正常运行。落实党要管档、依法治档基本原则，按要求做好文书档案规范化管理。认真履行创文办工作职责，提出“十个一”工作法，强化对标补短。党工委办党支部被评为全区先进基层党组织，党工委办被评为全区2019年度目标考核先进单位。</w:t>
      </w:r>
      <w:bookmarkStart w:id="20" w:name="_Toc15396601"/>
      <w:bookmarkStart w:id="21" w:name="_Toc15377200"/>
    </w:p>
    <w:p w14:paraId="41A7C84C">
      <w:pPr>
        <w:ind w:firstLine="632" w:firstLineChars="200"/>
        <w:rPr>
          <w:rFonts w:ascii="黑体" w:hAnsi="黑体" w:eastAsia="黑体"/>
        </w:rPr>
      </w:pPr>
      <w:r>
        <w:rPr>
          <w:rFonts w:hint="eastAsia" w:ascii="黑体" w:hAnsi="黑体" w:eastAsia="黑体"/>
        </w:rPr>
        <w:t>二、机构设置</w:t>
      </w:r>
      <w:bookmarkEnd w:id="20"/>
      <w:bookmarkEnd w:id="21"/>
    </w:p>
    <w:p w14:paraId="545E9D54">
      <w:pPr>
        <w:ind w:firstLine="632" w:firstLineChars="200"/>
      </w:pPr>
      <w:r>
        <w:rPr>
          <w:rFonts w:hint="eastAsia"/>
        </w:rPr>
        <w:t>中共乐山高新技术产业开发区工作委员会办公室（以下简称：高新区党工委办公室）属一级预算单位，参照公务员法管理的事业单位，无下属二级单位。</w:t>
      </w:r>
    </w:p>
    <w:p w14:paraId="4B6D3E11">
      <w:r>
        <w:br w:type="page"/>
      </w:r>
    </w:p>
    <w:p w14:paraId="64546FAA">
      <w:pPr>
        <w:spacing w:line="600" w:lineRule="exact"/>
        <w:jc w:val="center"/>
        <w:rPr>
          <w:rFonts w:ascii="方正小标宋简体" w:eastAsia="方正小标宋简体"/>
          <w:sz w:val="44"/>
          <w:szCs w:val="44"/>
        </w:rPr>
      </w:pPr>
      <w:bookmarkStart w:id="22" w:name="_Toc15377204"/>
      <w:bookmarkStart w:id="23" w:name="_Toc15396602"/>
      <w:r>
        <w:rPr>
          <w:rFonts w:hint="eastAsia" w:ascii="方正小标宋简体" w:eastAsia="方正小标宋简体"/>
          <w:sz w:val="44"/>
          <w:szCs w:val="44"/>
        </w:rPr>
        <w:t>第二部分2019年度部门决算情况说明</w:t>
      </w:r>
      <w:bookmarkEnd w:id="22"/>
      <w:bookmarkEnd w:id="23"/>
    </w:p>
    <w:p w14:paraId="5B47EE6F"/>
    <w:p w14:paraId="038D0FF2">
      <w:pPr>
        <w:ind w:firstLine="632" w:firstLineChars="200"/>
        <w:rPr>
          <w:rFonts w:ascii="黑体" w:hAnsi="黑体" w:eastAsia="黑体"/>
        </w:rPr>
      </w:pPr>
      <w:bookmarkStart w:id="24" w:name="_Toc15396603"/>
      <w:bookmarkStart w:id="25" w:name="_Toc15377205"/>
      <w:r>
        <w:rPr>
          <w:rFonts w:hint="eastAsia" w:ascii="黑体" w:hAnsi="黑体" w:eastAsia="黑体"/>
        </w:rPr>
        <w:t>一、收入支出决算总体情况说明</w:t>
      </w:r>
      <w:bookmarkEnd w:id="24"/>
      <w:bookmarkEnd w:id="25"/>
    </w:p>
    <w:p w14:paraId="4C28616C">
      <w:pPr>
        <w:ind w:firstLine="632" w:firstLineChars="200"/>
      </w:pPr>
      <w:r>
        <w:rPr>
          <w:rFonts w:hint="eastAsia"/>
        </w:rPr>
        <w:t>2019年度收、支总计1696.69万元。与2018年相比，收、支总计各增加10.91万元，增长6.47</w:t>
      </w:r>
      <w:r>
        <w:t>%</w:t>
      </w:r>
      <w:r>
        <w:rPr>
          <w:rFonts w:hint="eastAsia"/>
        </w:rPr>
        <w:t>。主要变动原因是增加精准扶贫、驻村帮扶经费支出。</w:t>
      </w:r>
    </w:p>
    <w:p w14:paraId="29F25FA4"/>
    <w:p w14:paraId="7CCAB339">
      <w:pPr>
        <w:jc w:val="center"/>
        <w:rPr>
          <w:rFonts w:ascii="仿宋" w:hAnsi="仿宋" w:eastAsia="仿宋"/>
          <w:color w:val="000000"/>
          <w:szCs w:val="32"/>
        </w:rPr>
      </w:pPr>
      <w:r>
        <w:rPr>
          <w:rFonts w:ascii="仿宋" w:hAnsi="仿宋" w:eastAsia="仿宋"/>
          <w:color w:val="000000"/>
          <w:szCs w:val="32"/>
        </w:rPr>
        <w:drawing>
          <wp:inline distT="0" distB="0" distL="0" distR="0">
            <wp:extent cx="5546090" cy="30765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65F2879">
      <w:pPr>
        <w:spacing w:line="600" w:lineRule="exact"/>
        <w:ind w:firstLine="632" w:firstLineChars="200"/>
        <w:rPr>
          <w:rFonts w:ascii="仿宋" w:hAnsi="仿宋" w:eastAsia="仿宋"/>
          <w:color w:val="000000" w:themeColor="text1"/>
          <w:szCs w:val="32"/>
        </w:rPr>
      </w:pPr>
      <w:r>
        <w:rPr>
          <w:rFonts w:hint="eastAsia" w:ascii="仿宋" w:hAnsi="仿宋" w:eastAsia="仿宋"/>
          <w:color w:val="000000" w:themeColor="text1"/>
          <w:szCs w:val="32"/>
        </w:rPr>
        <w:t>图</w:t>
      </w:r>
      <w:r>
        <w:rPr>
          <w:rFonts w:ascii="仿宋" w:hAnsi="仿宋" w:eastAsia="仿宋"/>
          <w:color w:val="000000" w:themeColor="text1"/>
          <w:szCs w:val="32"/>
        </w:rPr>
        <w:t>1</w:t>
      </w:r>
      <w:r>
        <w:rPr>
          <w:rFonts w:hint="eastAsia" w:ascii="仿宋" w:hAnsi="仿宋" w:eastAsia="仿宋"/>
          <w:color w:val="000000" w:themeColor="text1"/>
          <w:szCs w:val="32"/>
        </w:rPr>
        <w:t>：收、支决算总计变动情况图</w:t>
      </w:r>
    </w:p>
    <w:p w14:paraId="770F2506">
      <w:pPr>
        <w:ind w:firstLine="632" w:firstLineChars="200"/>
        <w:rPr>
          <w:rFonts w:ascii="黑体" w:hAnsi="黑体" w:eastAsia="黑体"/>
        </w:rPr>
      </w:pPr>
      <w:bookmarkStart w:id="26" w:name="_Toc15377206"/>
      <w:bookmarkStart w:id="27" w:name="_Toc15396604"/>
    </w:p>
    <w:p w14:paraId="007456E2">
      <w:pPr>
        <w:ind w:firstLine="632" w:firstLineChars="200"/>
        <w:rPr>
          <w:rFonts w:ascii="黑体" w:hAnsi="黑体" w:eastAsia="黑体"/>
        </w:rPr>
      </w:pPr>
    </w:p>
    <w:p w14:paraId="36D4E0A7">
      <w:pPr>
        <w:ind w:firstLine="632" w:firstLineChars="200"/>
        <w:rPr>
          <w:rFonts w:ascii="黑体" w:hAnsi="黑体" w:eastAsia="黑体"/>
        </w:rPr>
      </w:pPr>
    </w:p>
    <w:p w14:paraId="0B8C655D">
      <w:pPr>
        <w:ind w:firstLine="632" w:firstLineChars="200"/>
        <w:rPr>
          <w:rFonts w:ascii="黑体" w:hAnsi="黑体" w:eastAsia="黑体"/>
        </w:rPr>
      </w:pPr>
    </w:p>
    <w:p w14:paraId="2B5103E2">
      <w:pPr>
        <w:ind w:firstLine="632" w:firstLineChars="200"/>
        <w:rPr>
          <w:rFonts w:ascii="黑体" w:hAnsi="黑体" w:eastAsia="黑体"/>
        </w:rPr>
      </w:pPr>
    </w:p>
    <w:p w14:paraId="0FA87EA4">
      <w:pPr>
        <w:ind w:firstLine="632" w:firstLineChars="200"/>
        <w:rPr>
          <w:rFonts w:ascii="黑体" w:hAnsi="黑体" w:eastAsia="黑体"/>
        </w:rPr>
      </w:pPr>
      <w:r>
        <w:rPr>
          <w:rFonts w:hint="eastAsia" w:ascii="黑体" w:hAnsi="黑体" w:eastAsia="黑体"/>
        </w:rPr>
        <w:t>二、收入决算情况说明</w:t>
      </w:r>
      <w:bookmarkEnd w:id="26"/>
      <w:bookmarkEnd w:id="27"/>
    </w:p>
    <w:p w14:paraId="2EED3121">
      <w:pPr>
        <w:ind w:firstLine="632" w:firstLineChars="200"/>
      </w:pPr>
      <w:r>
        <w:t>201</w:t>
      </w:r>
      <w:r>
        <w:rPr>
          <w:rFonts w:hint="eastAsia"/>
        </w:rPr>
        <w:t>9年本年收入合计1696.69万元，其中：一般公共预算财政拨款收入1696.69万元，占100</w:t>
      </w:r>
      <w:r>
        <w:t>%</w:t>
      </w:r>
      <w:r>
        <w:rPr>
          <w:rFonts w:hint="eastAsia"/>
        </w:rPr>
        <w:t>；无政府性基金预算财政拨款收入</w:t>
      </w:r>
      <w:r>
        <w:t>、</w:t>
      </w:r>
      <w:r>
        <w:rPr>
          <w:rFonts w:hint="eastAsia"/>
        </w:rPr>
        <w:t>上级补助收入</w:t>
      </w:r>
      <w:r>
        <w:t>、</w:t>
      </w:r>
      <w:r>
        <w:rPr>
          <w:rFonts w:hint="eastAsia"/>
        </w:rPr>
        <w:t>事业收入</w:t>
      </w:r>
      <w:r>
        <w:t>、</w:t>
      </w:r>
      <w:r>
        <w:rPr>
          <w:rFonts w:hint="eastAsia"/>
        </w:rPr>
        <w:t>经营收入</w:t>
      </w:r>
      <w:r>
        <w:t>、</w:t>
      </w:r>
      <w:r>
        <w:rPr>
          <w:rFonts w:hint="eastAsia"/>
        </w:rPr>
        <w:t>附属单位上缴收入</w:t>
      </w:r>
      <w:r>
        <w:t>、</w:t>
      </w:r>
      <w:r>
        <w:rPr>
          <w:rFonts w:hint="eastAsia"/>
        </w:rPr>
        <w:t>其他收入。</w:t>
      </w:r>
    </w:p>
    <w:p w14:paraId="6071FE90">
      <w:pPr>
        <w:outlineLvl w:val="1"/>
        <w:rPr>
          <w:rFonts w:ascii="仿宋" w:hAnsi="仿宋" w:eastAsia="仿宋"/>
          <w:color w:val="000000"/>
          <w:szCs w:val="32"/>
        </w:rPr>
      </w:pPr>
      <w:r>
        <w:rPr>
          <w:rFonts w:ascii="仿宋" w:hAnsi="仿宋" w:eastAsia="仿宋"/>
          <w:color w:val="000000"/>
          <w:szCs w:val="32"/>
        </w:rPr>
        <w:drawing>
          <wp:inline distT="0" distB="0" distL="0" distR="0">
            <wp:extent cx="5600700" cy="30765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70D424">
      <w:pPr>
        <w:spacing w:line="600" w:lineRule="exact"/>
        <w:ind w:firstLine="632" w:firstLineChars="200"/>
        <w:rPr>
          <w:rFonts w:ascii="仿宋" w:hAnsi="仿宋" w:eastAsia="仿宋"/>
          <w:color w:val="000000" w:themeColor="text1"/>
          <w:szCs w:val="32"/>
        </w:rPr>
      </w:pPr>
      <w:r>
        <w:rPr>
          <w:rFonts w:hint="eastAsia" w:ascii="仿宋" w:hAnsi="仿宋" w:eastAsia="仿宋"/>
          <w:color w:val="000000" w:themeColor="text1"/>
          <w:szCs w:val="32"/>
        </w:rPr>
        <w:t>图2：收入决算结构图</w:t>
      </w:r>
    </w:p>
    <w:p w14:paraId="311A8190">
      <w:pPr>
        <w:ind w:firstLine="632" w:firstLineChars="200"/>
        <w:rPr>
          <w:rFonts w:ascii="黑体" w:hAnsi="黑体" w:eastAsia="黑体"/>
        </w:rPr>
      </w:pPr>
      <w:bookmarkStart w:id="28" w:name="_Toc15377207"/>
      <w:bookmarkStart w:id="29" w:name="_Toc15396605"/>
    </w:p>
    <w:p w14:paraId="57C935C8">
      <w:pPr>
        <w:ind w:firstLine="632" w:firstLineChars="200"/>
        <w:rPr>
          <w:rFonts w:ascii="黑体" w:hAnsi="黑体" w:eastAsia="黑体"/>
        </w:rPr>
      </w:pPr>
    </w:p>
    <w:p w14:paraId="2578C000">
      <w:pPr>
        <w:ind w:firstLine="632" w:firstLineChars="200"/>
        <w:rPr>
          <w:rFonts w:ascii="黑体" w:hAnsi="黑体" w:eastAsia="黑体"/>
        </w:rPr>
      </w:pPr>
    </w:p>
    <w:p w14:paraId="221EC10B">
      <w:pPr>
        <w:ind w:firstLine="632" w:firstLineChars="200"/>
        <w:rPr>
          <w:rFonts w:ascii="黑体" w:hAnsi="黑体" w:eastAsia="黑体"/>
        </w:rPr>
      </w:pPr>
    </w:p>
    <w:p w14:paraId="42D43E3D">
      <w:pPr>
        <w:ind w:firstLine="632" w:firstLineChars="200"/>
        <w:rPr>
          <w:rFonts w:ascii="黑体" w:hAnsi="黑体" w:eastAsia="黑体"/>
        </w:rPr>
      </w:pPr>
    </w:p>
    <w:p w14:paraId="7A77BFC3">
      <w:pPr>
        <w:ind w:firstLine="632" w:firstLineChars="200"/>
        <w:rPr>
          <w:rFonts w:ascii="黑体" w:hAnsi="黑体" w:eastAsia="黑体"/>
        </w:rPr>
      </w:pPr>
    </w:p>
    <w:p w14:paraId="59D0E698">
      <w:pPr>
        <w:ind w:firstLine="632" w:firstLineChars="200"/>
        <w:rPr>
          <w:rFonts w:ascii="黑体" w:hAnsi="黑体" w:eastAsia="黑体"/>
        </w:rPr>
      </w:pPr>
    </w:p>
    <w:p w14:paraId="2072EB19">
      <w:pPr>
        <w:ind w:firstLine="632" w:firstLineChars="200"/>
        <w:rPr>
          <w:rFonts w:ascii="黑体" w:hAnsi="黑体" w:eastAsia="黑体"/>
        </w:rPr>
      </w:pPr>
      <w:r>
        <w:rPr>
          <w:rFonts w:hint="eastAsia" w:ascii="黑体" w:hAnsi="黑体" w:eastAsia="黑体"/>
        </w:rPr>
        <w:t>三、支出决算情况说明</w:t>
      </w:r>
      <w:bookmarkEnd w:id="28"/>
      <w:bookmarkEnd w:id="29"/>
    </w:p>
    <w:p w14:paraId="0CC2F911">
      <w:pPr>
        <w:ind w:firstLine="632" w:firstLineChars="200"/>
      </w:pPr>
      <w:r>
        <w:t>201</w:t>
      </w:r>
      <w:r>
        <w:rPr>
          <w:rFonts w:hint="eastAsia"/>
        </w:rPr>
        <w:t>9年本年支出合计1696.69万元，其中：基本支出842.76万元，占49.67</w:t>
      </w:r>
      <w:r>
        <w:t>%</w:t>
      </w:r>
      <w:r>
        <w:rPr>
          <w:rFonts w:hint="eastAsia"/>
        </w:rPr>
        <w:t>；项目支出853.93万元，占50.33</w:t>
      </w:r>
      <w:r>
        <w:t>%</w:t>
      </w:r>
      <w:r>
        <w:rPr>
          <w:rFonts w:hint="eastAsia"/>
        </w:rPr>
        <w:t>；无上缴上级支出</w:t>
      </w:r>
      <w:r>
        <w:t>、</w:t>
      </w:r>
      <w:r>
        <w:rPr>
          <w:rFonts w:hint="eastAsia"/>
        </w:rPr>
        <w:t>经营支出</w:t>
      </w:r>
      <w:r>
        <w:t>、</w:t>
      </w:r>
      <w:r>
        <w:rPr>
          <w:rFonts w:hint="eastAsia"/>
        </w:rPr>
        <w:t>对附属单位补助支出。</w:t>
      </w:r>
    </w:p>
    <w:p w14:paraId="495DCF43">
      <w:pPr>
        <w:spacing w:line="360" w:lineRule="auto"/>
        <w:outlineLvl w:val="1"/>
        <w:rPr>
          <w:rFonts w:ascii="仿宋" w:hAnsi="仿宋" w:eastAsia="仿宋"/>
          <w:color w:val="000000"/>
          <w:szCs w:val="32"/>
        </w:rPr>
      </w:pPr>
      <w:r>
        <w:rPr>
          <w:rFonts w:ascii="仿宋" w:hAnsi="仿宋" w:eastAsia="仿宋"/>
          <w:color w:val="000000"/>
          <w:szCs w:val="32"/>
        </w:rPr>
        <w:drawing>
          <wp:inline distT="0" distB="0" distL="0" distR="0">
            <wp:extent cx="5616575" cy="2569210"/>
            <wp:effectExtent l="0" t="0" r="3175"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561294">
      <w:pPr>
        <w:spacing w:line="600" w:lineRule="exact"/>
        <w:ind w:firstLine="632" w:firstLineChars="200"/>
        <w:rPr>
          <w:rFonts w:ascii="仿宋" w:hAnsi="仿宋" w:eastAsia="仿宋"/>
          <w:color w:val="000000" w:themeColor="text1"/>
          <w:szCs w:val="32"/>
        </w:rPr>
      </w:pPr>
    </w:p>
    <w:p w14:paraId="49D10534">
      <w:pPr>
        <w:spacing w:line="600" w:lineRule="exact"/>
        <w:ind w:firstLine="632" w:firstLineChars="200"/>
        <w:rPr>
          <w:rFonts w:ascii="仿宋" w:hAnsi="仿宋" w:eastAsia="仿宋"/>
          <w:color w:val="000000" w:themeColor="text1"/>
          <w:szCs w:val="32"/>
        </w:rPr>
      </w:pPr>
      <w:r>
        <w:rPr>
          <w:rFonts w:hint="eastAsia" w:ascii="仿宋" w:hAnsi="仿宋" w:eastAsia="仿宋"/>
          <w:color w:val="000000" w:themeColor="text1"/>
          <w:szCs w:val="32"/>
        </w:rPr>
        <w:t>图3：支出决算结构图</w:t>
      </w:r>
    </w:p>
    <w:p w14:paraId="7D75D2BD">
      <w:pPr>
        <w:spacing w:line="600" w:lineRule="exact"/>
        <w:ind w:firstLine="632" w:firstLineChars="200"/>
        <w:outlineLvl w:val="1"/>
        <w:rPr>
          <w:rFonts w:ascii="黑体" w:hAnsi="黑体" w:eastAsia="黑体"/>
          <w:color w:val="000000"/>
          <w:szCs w:val="32"/>
        </w:rPr>
      </w:pPr>
      <w:bookmarkStart w:id="30" w:name="_Toc15377208"/>
      <w:bookmarkStart w:id="31" w:name="_Toc15396606"/>
    </w:p>
    <w:p w14:paraId="79EAA545">
      <w:pPr>
        <w:spacing w:line="600" w:lineRule="exact"/>
        <w:ind w:firstLine="632" w:firstLineChars="200"/>
        <w:outlineLvl w:val="1"/>
        <w:rPr>
          <w:rFonts w:ascii="黑体" w:hAnsi="黑体" w:eastAsia="黑体"/>
          <w:color w:val="000000"/>
          <w:szCs w:val="32"/>
        </w:rPr>
      </w:pPr>
    </w:p>
    <w:p w14:paraId="0BC8F736">
      <w:pPr>
        <w:spacing w:line="600" w:lineRule="exact"/>
        <w:ind w:firstLine="632" w:firstLineChars="200"/>
        <w:outlineLvl w:val="1"/>
        <w:rPr>
          <w:rFonts w:ascii="黑体" w:hAnsi="黑体" w:eastAsia="黑体"/>
          <w:color w:val="000000"/>
          <w:szCs w:val="32"/>
        </w:rPr>
      </w:pPr>
    </w:p>
    <w:p w14:paraId="6FB663D9">
      <w:pPr>
        <w:spacing w:line="600" w:lineRule="exact"/>
        <w:ind w:firstLine="632" w:firstLineChars="200"/>
        <w:outlineLvl w:val="1"/>
        <w:rPr>
          <w:rFonts w:ascii="黑体" w:hAnsi="黑体" w:eastAsia="黑体"/>
          <w:color w:val="000000"/>
          <w:szCs w:val="32"/>
        </w:rPr>
      </w:pPr>
    </w:p>
    <w:p w14:paraId="132D5F3F">
      <w:pPr>
        <w:spacing w:line="600" w:lineRule="exact"/>
        <w:ind w:firstLine="632" w:firstLineChars="200"/>
        <w:outlineLvl w:val="1"/>
        <w:rPr>
          <w:rFonts w:ascii="黑体" w:hAnsi="黑体" w:eastAsia="黑体"/>
          <w:color w:val="000000"/>
          <w:szCs w:val="32"/>
        </w:rPr>
      </w:pPr>
    </w:p>
    <w:p w14:paraId="4CE6C04F">
      <w:pPr>
        <w:spacing w:line="600" w:lineRule="exact"/>
        <w:ind w:firstLine="632" w:firstLineChars="200"/>
        <w:outlineLvl w:val="1"/>
        <w:rPr>
          <w:rFonts w:ascii="黑体" w:hAnsi="黑体" w:eastAsia="黑体"/>
          <w:color w:val="000000"/>
          <w:szCs w:val="32"/>
        </w:rPr>
      </w:pPr>
    </w:p>
    <w:p w14:paraId="20C55943">
      <w:pPr>
        <w:spacing w:line="600" w:lineRule="exact"/>
        <w:ind w:firstLine="632" w:firstLineChars="200"/>
        <w:outlineLvl w:val="1"/>
        <w:rPr>
          <w:rFonts w:ascii="黑体" w:hAnsi="黑体" w:eastAsia="黑体"/>
          <w:color w:val="000000"/>
          <w:szCs w:val="32"/>
        </w:rPr>
      </w:pPr>
    </w:p>
    <w:p w14:paraId="3ACB55AC">
      <w:pPr>
        <w:spacing w:line="600" w:lineRule="exact"/>
        <w:ind w:firstLine="632" w:firstLineChars="200"/>
        <w:outlineLvl w:val="1"/>
        <w:rPr>
          <w:rFonts w:ascii="黑体" w:hAnsi="黑体" w:eastAsia="黑体"/>
          <w:color w:val="000000"/>
          <w:szCs w:val="32"/>
        </w:rPr>
      </w:pPr>
    </w:p>
    <w:p w14:paraId="3FF39323">
      <w:pPr>
        <w:spacing w:line="600" w:lineRule="exact"/>
        <w:ind w:firstLine="632" w:firstLineChars="200"/>
        <w:outlineLvl w:val="1"/>
        <w:rPr>
          <w:rStyle w:val="26"/>
          <w:rFonts w:ascii="黑体" w:hAnsi="黑体" w:eastAsia="黑体"/>
          <w:b w:val="0"/>
        </w:rPr>
      </w:pPr>
      <w:r>
        <w:rPr>
          <w:rFonts w:hint="eastAsia" w:ascii="黑体" w:hAnsi="黑体" w:eastAsia="黑体"/>
          <w:color w:val="000000"/>
          <w:szCs w:val="32"/>
        </w:rPr>
        <w:t>四、财</w:t>
      </w:r>
      <w:r>
        <w:rPr>
          <w:rStyle w:val="26"/>
          <w:rFonts w:hint="eastAsia" w:ascii="黑体" w:hAnsi="黑体" w:eastAsia="黑体"/>
          <w:b w:val="0"/>
        </w:rPr>
        <w:t>政拨款收入支出决算总体情况说明</w:t>
      </w:r>
      <w:bookmarkEnd w:id="30"/>
      <w:bookmarkEnd w:id="31"/>
    </w:p>
    <w:p w14:paraId="031105FB">
      <w:pPr>
        <w:ind w:firstLine="632" w:firstLineChars="200"/>
      </w:pPr>
      <w:r>
        <w:t>201</w:t>
      </w:r>
      <w:r>
        <w:rPr>
          <w:rFonts w:hint="eastAsia"/>
        </w:rPr>
        <w:t>9年财政拨款收、支总计1696.69万元。与</w:t>
      </w:r>
      <w:r>
        <w:t>201</w:t>
      </w:r>
      <w:r>
        <w:rPr>
          <w:rFonts w:hint="eastAsia"/>
        </w:rPr>
        <w:t>8年相比，财政拨款收、支总计各增加14.54万元，增长8.64</w:t>
      </w:r>
      <w:r>
        <w:t>%</w:t>
      </w:r>
      <w:r>
        <w:rPr>
          <w:rFonts w:hint="eastAsia"/>
        </w:rPr>
        <w:t>。主要变动原因是增加精准扶贫、驻村帮扶经费支出。</w:t>
      </w:r>
    </w:p>
    <w:p w14:paraId="53DA60B6">
      <w:pPr>
        <w:rPr>
          <w:rFonts w:ascii="仿宋" w:hAnsi="仿宋" w:eastAsia="仿宋"/>
          <w:color w:val="000000"/>
          <w:szCs w:val="32"/>
        </w:rPr>
      </w:pPr>
      <w:r>
        <w:rPr>
          <w:rFonts w:ascii="仿宋" w:hAnsi="仿宋" w:eastAsia="仿宋"/>
          <w:color w:val="000000"/>
          <w:szCs w:val="32"/>
        </w:rPr>
        <w:drawing>
          <wp:inline distT="0" distB="0" distL="0" distR="0">
            <wp:extent cx="5701030" cy="3177540"/>
            <wp:effectExtent l="0" t="0" r="0" b="38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BAC0F7">
      <w:pPr>
        <w:spacing w:line="600" w:lineRule="exact"/>
        <w:ind w:firstLine="790" w:firstLineChars="250"/>
        <w:rPr>
          <w:rFonts w:ascii="仿宋" w:hAnsi="仿宋" w:eastAsia="仿宋"/>
          <w:color w:val="000000" w:themeColor="text1"/>
          <w:szCs w:val="32"/>
        </w:rPr>
      </w:pPr>
      <w:r>
        <w:rPr>
          <w:rFonts w:hint="eastAsia" w:ascii="仿宋" w:hAnsi="仿宋" w:eastAsia="仿宋"/>
          <w:color w:val="000000" w:themeColor="text1"/>
          <w:szCs w:val="32"/>
        </w:rPr>
        <w:t>图4：财政拨款收、支决算总计变动情况</w:t>
      </w:r>
    </w:p>
    <w:p w14:paraId="43BCC856">
      <w:pPr>
        <w:ind w:firstLine="632" w:firstLineChars="200"/>
        <w:rPr>
          <w:rFonts w:ascii="黑体" w:hAnsi="黑体" w:eastAsia="黑体"/>
        </w:rPr>
      </w:pPr>
      <w:bookmarkStart w:id="32" w:name="_Toc15377209"/>
      <w:bookmarkStart w:id="33" w:name="_Toc15396607"/>
    </w:p>
    <w:p w14:paraId="18D45FE1">
      <w:pPr>
        <w:ind w:firstLine="632" w:firstLineChars="200"/>
        <w:rPr>
          <w:rFonts w:ascii="黑体" w:hAnsi="黑体" w:eastAsia="黑体"/>
        </w:rPr>
      </w:pPr>
    </w:p>
    <w:p w14:paraId="541DEB32">
      <w:pPr>
        <w:ind w:firstLine="632" w:firstLineChars="200"/>
        <w:rPr>
          <w:rFonts w:ascii="黑体" w:hAnsi="黑体" w:eastAsia="黑体"/>
        </w:rPr>
      </w:pPr>
    </w:p>
    <w:p w14:paraId="107F19EB">
      <w:pPr>
        <w:ind w:firstLine="632" w:firstLineChars="200"/>
        <w:rPr>
          <w:rFonts w:ascii="黑体" w:hAnsi="黑体" w:eastAsia="黑体"/>
        </w:rPr>
      </w:pPr>
    </w:p>
    <w:p w14:paraId="736E0291">
      <w:pPr>
        <w:ind w:firstLine="632" w:firstLineChars="200"/>
        <w:rPr>
          <w:rFonts w:ascii="黑体" w:hAnsi="黑体" w:eastAsia="黑体"/>
        </w:rPr>
      </w:pPr>
    </w:p>
    <w:p w14:paraId="6589FFCF">
      <w:pPr>
        <w:ind w:firstLine="632" w:firstLineChars="200"/>
        <w:rPr>
          <w:rFonts w:ascii="黑体" w:hAnsi="黑体" w:eastAsia="黑体"/>
        </w:rPr>
      </w:pPr>
    </w:p>
    <w:p w14:paraId="680FC525">
      <w:pPr>
        <w:ind w:firstLine="632" w:firstLineChars="200"/>
        <w:rPr>
          <w:rFonts w:ascii="黑体" w:hAnsi="黑体" w:eastAsia="黑体"/>
        </w:rPr>
      </w:pPr>
    </w:p>
    <w:p w14:paraId="2B17818F">
      <w:pPr>
        <w:ind w:firstLine="632" w:firstLineChars="200"/>
        <w:rPr>
          <w:rFonts w:ascii="黑体" w:hAnsi="黑体" w:eastAsia="黑体"/>
        </w:rPr>
      </w:pPr>
    </w:p>
    <w:p w14:paraId="27BB2C32">
      <w:pPr>
        <w:ind w:firstLine="632" w:firstLineChars="200"/>
        <w:rPr>
          <w:rFonts w:ascii="黑体" w:hAnsi="黑体" w:eastAsia="黑体"/>
        </w:rPr>
      </w:pPr>
      <w:r>
        <w:rPr>
          <w:rFonts w:hint="eastAsia" w:ascii="黑体" w:hAnsi="黑体" w:eastAsia="黑体"/>
        </w:rPr>
        <w:t>五、一般公共预算财政拨款支出决算情况说明</w:t>
      </w:r>
      <w:bookmarkEnd w:id="32"/>
      <w:bookmarkEnd w:id="33"/>
    </w:p>
    <w:p w14:paraId="04501AE5">
      <w:pPr>
        <w:ind w:firstLine="632" w:firstLineChars="200"/>
        <w:rPr>
          <w:rFonts w:ascii="楷体_GB2312" w:eastAsia="楷体_GB2312"/>
        </w:rPr>
      </w:pPr>
      <w:bookmarkStart w:id="34" w:name="_Toc15377210"/>
      <w:r>
        <w:rPr>
          <w:rFonts w:hint="eastAsia" w:ascii="楷体_GB2312" w:eastAsia="楷体_GB2312"/>
        </w:rPr>
        <w:t>（一）一般公共预算财政拨款支出决算总体情况</w:t>
      </w:r>
      <w:bookmarkEnd w:id="34"/>
    </w:p>
    <w:p w14:paraId="665C7B0B">
      <w:pPr>
        <w:ind w:firstLine="632" w:firstLineChars="200"/>
      </w:pPr>
      <w:r>
        <w:t>201</w:t>
      </w:r>
      <w:r>
        <w:rPr>
          <w:rFonts w:hint="eastAsia"/>
        </w:rPr>
        <w:t>9年一般公共预算财政拨款支出1696.69万元，占本年支出合计的100</w:t>
      </w:r>
      <w:r>
        <w:t>%</w:t>
      </w:r>
      <w:r>
        <w:rPr>
          <w:rFonts w:hint="eastAsia"/>
        </w:rPr>
        <w:t>。与</w:t>
      </w:r>
      <w:r>
        <w:t>201</w:t>
      </w:r>
      <w:r>
        <w:rPr>
          <w:rFonts w:hint="eastAsia"/>
        </w:rPr>
        <w:t>8年相比，一般公共预算财政拨款增加19.54万元，增长11.65</w:t>
      </w:r>
      <w:r>
        <w:t>%</w:t>
      </w:r>
      <w:r>
        <w:rPr>
          <w:rFonts w:hint="eastAsia"/>
        </w:rPr>
        <w:t>。主要变动原因是增加精准扶贫、驻村帮扶经费支出。</w:t>
      </w:r>
    </w:p>
    <w:p w14:paraId="77B23B51">
      <w:pPr>
        <w:ind w:firstLine="632" w:firstLineChars="200"/>
        <w:rPr>
          <w:rFonts w:ascii="仿宋" w:hAnsi="仿宋" w:eastAsia="仿宋"/>
          <w:color w:val="000000"/>
          <w:szCs w:val="32"/>
        </w:rPr>
      </w:pPr>
      <w:r>
        <w:rPr>
          <w:rFonts w:ascii="仿宋" w:hAnsi="仿宋" w:eastAsia="仿宋"/>
          <w:color w:val="000000"/>
          <w:szCs w:val="32"/>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D3B8ED">
      <w:pPr>
        <w:spacing w:line="600" w:lineRule="exact"/>
        <w:ind w:firstLine="316" w:firstLineChars="100"/>
        <w:rPr>
          <w:rFonts w:ascii="仿宋_GB2312" w:hAnsi="仿宋"/>
          <w:color w:val="000000" w:themeColor="text1"/>
          <w:szCs w:val="32"/>
        </w:rPr>
      </w:pPr>
      <w:r>
        <w:rPr>
          <w:rFonts w:hint="eastAsia" w:ascii="仿宋_GB2312" w:hAnsi="仿宋"/>
          <w:color w:val="000000" w:themeColor="text1"/>
          <w:szCs w:val="32"/>
        </w:rPr>
        <w:t>图5：一般公共预算财政拨款支出决算变动情况</w:t>
      </w:r>
    </w:p>
    <w:p w14:paraId="1A842439">
      <w:pPr>
        <w:ind w:firstLine="632" w:firstLineChars="200"/>
        <w:outlineLvl w:val="2"/>
        <w:rPr>
          <w:rFonts w:ascii="仿宋_GB2312" w:hAnsi="仿宋"/>
          <w:color w:val="000000"/>
          <w:szCs w:val="32"/>
        </w:rPr>
      </w:pPr>
      <w:bookmarkStart w:id="35" w:name="_Toc15377211"/>
      <w:r>
        <w:rPr>
          <w:rFonts w:hint="eastAsia" w:ascii="仿宋_GB2312" w:hAnsi="仿宋"/>
          <w:color w:val="000000"/>
          <w:szCs w:val="32"/>
        </w:rPr>
        <w:t>（二）一般公共预算财政拨款支出决算结构情况</w:t>
      </w:r>
      <w:bookmarkEnd w:id="35"/>
    </w:p>
    <w:p w14:paraId="2ED7A39D">
      <w:pPr>
        <w:ind w:firstLine="640"/>
        <w:rPr>
          <w:rFonts w:ascii="仿宋_GB2312" w:hAnsi="仿宋"/>
          <w:b/>
          <w:color w:val="000000" w:themeColor="text1"/>
          <w:szCs w:val="32"/>
        </w:rPr>
      </w:pPr>
      <w:r>
        <w:rPr>
          <w:rFonts w:hint="eastAsia" w:ascii="仿宋_GB2312" w:hAnsi="仿宋"/>
          <w:color w:val="000000"/>
          <w:szCs w:val="32"/>
        </w:rPr>
        <w:t>2019年一般公共预算财</w:t>
      </w:r>
      <w:r>
        <w:rPr>
          <w:rFonts w:hint="eastAsia" w:ascii="仿宋_GB2312" w:hAnsi="仿宋"/>
          <w:color w:val="000000" w:themeColor="text1"/>
          <w:szCs w:val="32"/>
        </w:rPr>
        <w:t>政拨款支出1696.69万元，主要用于以下方面:</w:t>
      </w:r>
      <w:r>
        <w:rPr>
          <w:rFonts w:hint="eastAsia" w:ascii="仿宋_GB2312" w:hAnsi="仿宋"/>
          <w:b/>
          <w:color w:val="000000" w:themeColor="text1"/>
          <w:szCs w:val="32"/>
        </w:rPr>
        <w:t>一般公共服务（201）支出</w:t>
      </w:r>
      <w:r>
        <w:rPr>
          <w:rFonts w:hint="eastAsia" w:ascii="仿宋_GB2312" w:hAnsi="仿宋"/>
          <w:color w:val="000000" w:themeColor="text1"/>
          <w:szCs w:val="32"/>
        </w:rPr>
        <w:t>1078.69万元，占63.58%；</w:t>
      </w:r>
      <w:r>
        <w:rPr>
          <w:rFonts w:hint="eastAsia" w:ascii="仿宋_GB2312" w:hAnsi="仿宋"/>
          <w:b/>
          <w:color w:val="000000" w:themeColor="text1"/>
          <w:szCs w:val="32"/>
        </w:rPr>
        <w:t>社会保障和就业（208）支出</w:t>
      </w:r>
      <w:r>
        <w:rPr>
          <w:rFonts w:hint="eastAsia" w:ascii="仿宋_GB2312" w:hAnsi="仿宋"/>
          <w:color w:val="000000" w:themeColor="text1"/>
          <w:szCs w:val="32"/>
        </w:rPr>
        <w:t>238.34万元，占14.05%；</w:t>
      </w:r>
      <w:r>
        <w:rPr>
          <w:rFonts w:hint="eastAsia" w:ascii="仿宋_GB2312" w:hAnsi="仿宋"/>
          <w:b/>
          <w:bCs/>
          <w:color w:val="000000" w:themeColor="text1"/>
          <w:szCs w:val="32"/>
        </w:rPr>
        <w:t>卫生健康（210）支出</w:t>
      </w:r>
      <w:r>
        <w:rPr>
          <w:rFonts w:hint="eastAsia" w:ascii="仿宋_GB2312" w:hAnsi="仿宋"/>
          <w:color w:val="000000" w:themeColor="text1"/>
          <w:szCs w:val="32"/>
        </w:rPr>
        <w:t>50.6万元，占2.98%；</w:t>
      </w:r>
      <w:r>
        <w:rPr>
          <w:rFonts w:hint="eastAsia" w:ascii="仿宋_GB2312" w:hAnsi="仿宋"/>
          <w:b/>
          <w:color w:val="000000" w:themeColor="text1"/>
          <w:szCs w:val="32"/>
        </w:rPr>
        <w:t>农林水（213）支出</w:t>
      </w:r>
      <w:r>
        <w:rPr>
          <w:rFonts w:hint="eastAsia" w:ascii="仿宋_GB2312" w:hAnsi="仿宋"/>
          <w:color w:val="000000" w:themeColor="text1"/>
          <w:szCs w:val="32"/>
        </w:rPr>
        <w:t>108.54万元，占6.4%；</w:t>
      </w:r>
      <w:r>
        <w:rPr>
          <w:rFonts w:hint="eastAsia" w:ascii="仿宋_GB2312" w:hAnsi="仿宋"/>
          <w:b/>
          <w:color w:val="000000" w:themeColor="text1"/>
          <w:szCs w:val="32"/>
        </w:rPr>
        <w:t>住房保障（221）支出</w:t>
      </w:r>
      <w:r>
        <w:rPr>
          <w:rFonts w:hint="eastAsia" w:ascii="仿宋_GB2312" w:hAnsi="仿宋"/>
          <w:color w:val="000000" w:themeColor="text1"/>
          <w:szCs w:val="32"/>
        </w:rPr>
        <w:t>220.53万元，占13%。</w:t>
      </w:r>
    </w:p>
    <w:p w14:paraId="5B426C70">
      <w:pPr>
        <w:rPr>
          <w:rFonts w:ascii="仿宋" w:hAnsi="仿宋" w:eastAsia="仿宋"/>
          <w:color w:val="000000" w:themeColor="text1"/>
          <w:szCs w:val="32"/>
        </w:rPr>
      </w:pPr>
      <w:r>
        <w:rPr>
          <w:rFonts w:ascii="仿宋" w:hAnsi="仿宋" w:eastAsia="仿宋"/>
          <w:color w:val="000000" w:themeColor="text1"/>
          <w:szCs w:val="32"/>
        </w:rPr>
        <w:drawing>
          <wp:inline distT="0" distB="0" distL="0" distR="0">
            <wp:extent cx="5600700" cy="310959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183B33">
      <w:pPr>
        <w:spacing w:line="600" w:lineRule="exact"/>
        <w:ind w:firstLine="632" w:firstLineChars="200"/>
        <w:rPr>
          <w:rFonts w:ascii="仿宋" w:hAnsi="仿宋" w:eastAsia="仿宋"/>
          <w:color w:val="000000"/>
          <w:szCs w:val="32"/>
        </w:rPr>
      </w:pPr>
      <w:r>
        <w:rPr>
          <w:rFonts w:hint="eastAsia" w:ascii="仿宋" w:hAnsi="仿宋" w:eastAsia="仿宋"/>
          <w:color w:val="000000"/>
          <w:szCs w:val="32"/>
        </w:rPr>
        <w:t>图6：一般公共预算财政拨款支出决算结构</w:t>
      </w:r>
    </w:p>
    <w:p w14:paraId="541F603D">
      <w:pPr>
        <w:ind w:firstLine="632" w:firstLineChars="200"/>
        <w:rPr>
          <w:rFonts w:ascii="楷体_GB2312" w:eastAsia="楷体_GB2312"/>
        </w:rPr>
      </w:pPr>
      <w:bookmarkStart w:id="36" w:name="_Toc15377212"/>
      <w:r>
        <w:rPr>
          <w:rFonts w:hint="eastAsia" w:ascii="楷体_GB2312" w:eastAsia="楷体_GB2312"/>
        </w:rPr>
        <w:t>（三）一般公共预算财政拨款支出决算具体情况</w:t>
      </w:r>
      <w:bookmarkEnd w:id="36"/>
    </w:p>
    <w:p w14:paraId="4CF5EA8F">
      <w:pPr>
        <w:ind w:firstLine="632" w:firstLineChars="200"/>
        <w:contextualSpacing/>
        <w:outlineLvl w:val="2"/>
        <w:rPr>
          <w:rFonts w:ascii="仿宋_GB2312" w:hAnsi="仿宋"/>
          <w:color w:val="FF0000"/>
          <w:szCs w:val="32"/>
        </w:rPr>
      </w:pPr>
      <w:bookmarkStart w:id="37" w:name="_Toc15377444"/>
      <w:bookmarkStart w:id="38" w:name="_Toc15378460"/>
      <w:bookmarkStart w:id="39" w:name="_Toc15377213"/>
      <w:r>
        <w:rPr>
          <w:rFonts w:hint="eastAsia" w:ascii="仿宋_GB2312" w:hAnsi="仿宋"/>
          <w:b/>
          <w:color w:val="000000" w:themeColor="text1"/>
          <w:szCs w:val="32"/>
        </w:rPr>
        <w:t>2019年一般公共预算支出决算数为1696.69</w:t>
      </w:r>
      <w:r>
        <w:rPr>
          <w:rFonts w:hint="eastAsia" w:ascii="仿宋_GB2312" w:hAnsi="仿宋"/>
          <w:color w:val="000000" w:themeColor="text1"/>
          <w:szCs w:val="32"/>
        </w:rPr>
        <w:t>，</w:t>
      </w:r>
      <w:r>
        <w:rPr>
          <w:rStyle w:val="15"/>
          <w:rFonts w:hint="eastAsia" w:ascii="仿宋_GB2312" w:hAnsi="仿宋"/>
          <w:bCs/>
          <w:color w:val="000000" w:themeColor="text1"/>
          <w:szCs w:val="32"/>
        </w:rPr>
        <w:t>完成</w:t>
      </w:r>
      <w:r>
        <w:rPr>
          <w:rStyle w:val="15"/>
          <w:rFonts w:hint="eastAsia" w:ascii="仿宋_GB2312" w:hAnsi="仿宋"/>
          <w:bCs/>
          <w:color w:val="000000"/>
          <w:szCs w:val="32"/>
        </w:rPr>
        <w:t>预算100%。其中：</w:t>
      </w:r>
      <w:bookmarkEnd w:id="37"/>
      <w:bookmarkEnd w:id="38"/>
      <w:bookmarkEnd w:id="39"/>
    </w:p>
    <w:p w14:paraId="2393407F">
      <w:pPr>
        <w:ind w:firstLine="632" w:firstLineChars="200"/>
        <w:contextualSpacing/>
        <w:rPr>
          <w:rFonts w:ascii="仿宋_GB2312" w:hAnsi="仿宋"/>
          <w:b/>
          <w:color w:val="000000"/>
          <w:szCs w:val="32"/>
        </w:rPr>
      </w:pPr>
      <w:r>
        <w:rPr>
          <w:rStyle w:val="15"/>
          <w:rFonts w:hint="eastAsia" w:ascii="仿宋_GB2312" w:hAnsi="仿宋"/>
          <w:bCs/>
          <w:color w:val="000000"/>
          <w:szCs w:val="32"/>
        </w:rPr>
        <w:t>1.一般公共服务（201）政府办公厅（室）及相关机构事务（03）行政运行（01）:</w:t>
      </w:r>
      <w:r>
        <w:rPr>
          <w:rStyle w:val="15"/>
          <w:rFonts w:hint="eastAsia" w:ascii="仿宋_GB2312" w:hAnsi="仿宋"/>
          <w:b w:val="0"/>
          <w:bCs/>
          <w:color w:val="000000"/>
          <w:szCs w:val="32"/>
        </w:rPr>
        <w:t>支出决算为333.29万元，完成预算100%；</w:t>
      </w:r>
      <w:r>
        <w:rPr>
          <w:rStyle w:val="15"/>
          <w:rFonts w:hint="eastAsia" w:ascii="仿宋_GB2312" w:hAnsi="仿宋"/>
          <w:bCs/>
          <w:color w:val="000000"/>
          <w:szCs w:val="32"/>
        </w:rPr>
        <w:t>一般公共服务支出（201）政府办公厅（室）及相关机构事务（03）一般行政管理事务（02）</w:t>
      </w:r>
      <w:r>
        <w:rPr>
          <w:rStyle w:val="15"/>
          <w:rFonts w:hint="eastAsia" w:ascii="仿宋_GB2312" w:hAnsi="仿宋"/>
          <w:b w:val="0"/>
          <w:bCs/>
          <w:color w:val="000000"/>
          <w:szCs w:val="32"/>
        </w:rPr>
        <w:t>:决算数为745.39万元，完成预算100%。</w:t>
      </w:r>
    </w:p>
    <w:p w14:paraId="24AAAA43">
      <w:pPr>
        <w:ind w:firstLine="632" w:firstLineChars="200"/>
        <w:contextualSpacing/>
        <w:rPr>
          <w:rStyle w:val="15"/>
          <w:rFonts w:ascii="仿宋_GB2312" w:hAnsi="仿宋"/>
          <w:bCs/>
        </w:rPr>
      </w:pPr>
      <w:r>
        <w:rPr>
          <w:rStyle w:val="15"/>
          <w:rFonts w:hint="eastAsia" w:ascii="仿宋_GB2312" w:hAnsi="仿宋"/>
          <w:bCs/>
          <w:color w:val="000000"/>
          <w:szCs w:val="32"/>
        </w:rPr>
        <w:t>2.社会保障和就业支出（208）行政事业单位养老支出（05）机关事业单位基本养老保险缴费支出（05）</w:t>
      </w:r>
      <w:r>
        <w:rPr>
          <w:rStyle w:val="15"/>
          <w:rFonts w:hint="eastAsia" w:ascii="仿宋_GB2312" w:hAnsi="仿宋"/>
          <w:b w:val="0"/>
          <w:bCs/>
          <w:color w:val="000000"/>
          <w:szCs w:val="32"/>
        </w:rPr>
        <w:t>:支出决算为181.72万元，完成预算100%；</w:t>
      </w:r>
      <w:r>
        <w:rPr>
          <w:rStyle w:val="15"/>
          <w:rFonts w:hint="eastAsia" w:ascii="仿宋_GB2312" w:hAnsi="仿宋"/>
          <w:bCs/>
          <w:color w:val="000000"/>
          <w:szCs w:val="32"/>
        </w:rPr>
        <w:t>社会保障和就业支出（208）行政事业单位养老支出（05）机关事业单位职业年金缴费支出（06）</w:t>
      </w:r>
      <w:r>
        <w:rPr>
          <w:rStyle w:val="15"/>
          <w:rFonts w:hint="eastAsia" w:ascii="仿宋_GB2312" w:hAnsi="仿宋"/>
          <w:b w:val="0"/>
          <w:bCs/>
          <w:color w:val="000000"/>
          <w:szCs w:val="32"/>
        </w:rPr>
        <w:t>：支出决算为56.62万元，完成预算100%。</w:t>
      </w:r>
    </w:p>
    <w:p w14:paraId="2C6238F1">
      <w:pPr>
        <w:ind w:firstLine="632" w:firstLineChars="200"/>
        <w:contextualSpacing/>
        <w:rPr>
          <w:rFonts w:ascii="仿宋_GB2312" w:hAnsi="仿宋"/>
          <w:b/>
          <w:color w:val="000000"/>
          <w:szCs w:val="32"/>
        </w:rPr>
      </w:pPr>
      <w:r>
        <w:rPr>
          <w:rStyle w:val="15"/>
          <w:rFonts w:hint="eastAsia" w:ascii="仿宋_GB2312" w:hAnsi="仿宋"/>
          <w:bCs/>
          <w:color w:val="000000"/>
          <w:szCs w:val="32"/>
        </w:rPr>
        <w:t>3.卫生健康支出（210）行政事业单位医疗（11）行政单位医疗（01）:</w:t>
      </w:r>
      <w:r>
        <w:rPr>
          <w:rStyle w:val="15"/>
          <w:rFonts w:hint="eastAsia" w:ascii="仿宋_GB2312" w:hAnsi="仿宋"/>
          <w:b w:val="0"/>
          <w:bCs/>
          <w:color w:val="000000"/>
          <w:szCs w:val="32"/>
        </w:rPr>
        <w:t>支出决算为50.6万元，完成预算100%。</w:t>
      </w:r>
    </w:p>
    <w:p w14:paraId="2F276F00">
      <w:pPr>
        <w:ind w:firstLine="632" w:firstLineChars="200"/>
        <w:contextualSpacing/>
        <w:rPr>
          <w:rStyle w:val="15"/>
          <w:rFonts w:ascii="仿宋_GB2312" w:hAnsi="仿宋"/>
          <w:bCs/>
        </w:rPr>
      </w:pPr>
      <w:r>
        <w:rPr>
          <w:rStyle w:val="15"/>
          <w:rFonts w:hint="eastAsia" w:ascii="仿宋_GB2312" w:hAnsi="仿宋"/>
          <w:bCs/>
          <w:color w:val="000000"/>
          <w:szCs w:val="32"/>
        </w:rPr>
        <w:t>4.农林水支出（213）扶贫（05）其他扶贫支出（99）:</w:t>
      </w:r>
      <w:r>
        <w:rPr>
          <w:rStyle w:val="15"/>
          <w:rFonts w:hint="eastAsia" w:ascii="仿宋_GB2312" w:hAnsi="仿宋"/>
          <w:b w:val="0"/>
          <w:bCs/>
          <w:color w:val="000000"/>
          <w:szCs w:val="32"/>
        </w:rPr>
        <w:t>决算数为108.54万元，完成预算100%。</w:t>
      </w:r>
    </w:p>
    <w:p w14:paraId="104C1BEC">
      <w:pPr>
        <w:ind w:firstLine="632" w:firstLineChars="200"/>
        <w:contextualSpacing/>
        <w:rPr>
          <w:rFonts w:ascii="仿宋_GB2312" w:hAnsi="仿宋"/>
          <w:b/>
          <w:color w:val="000000"/>
          <w:szCs w:val="32"/>
        </w:rPr>
      </w:pPr>
      <w:r>
        <w:rPr>
          <w:rStyle w:val="15"/>
          <w:rFonts w:hint="eastAsia" w:ascii="仿宋_GB2312" w:hAnsi="仿宋"/>
          <w:bCs/>
          <w:color w:val="000000"/>
          <w:szCs w:val="32"/>
        </w:rPr>
        <w:t>5.住房保障支出（221）住房改革支出（02）住房公积金（01）:</w:t>
      </w:r>
      <w:r>
        <w:rPr>
          <w:rStyle w:val="15"/>
          <w:rFonts w:hint="eastAsia" w:ascii="仿宋_GB2312" w:hAnsi="仿宋"/>
          <w:b w:val="0"/>
          <w:bCs/>
          <w:color w:val="000000"/>
          <w:szCs w:val="32"/>
        </w:rPr>
        <w:t>支出决算为220.53万元。</w:t>
      </w:r>
    </w:p>
    <w:p w14:paraId="230B67A6">
      <w:pPr>
        <w:tabs>
          <w:tab w:val="right" w:pos="8306"/>
        </w:tabs>
        <w:ind w:firstLine="640"/>
        <w:contextualSpacing/>
        <w:outlineLvl w:val="1"/>
        <w:rPr>
          <w:rStyle w:val="26"/>
        </w:rPr>
      </w:pPr>
      <w:bookmarkStart w:id="40" w:name="_Toc15396608"/>
      <w:bookmarkStart w:id="41" w:name="_Toc15377214"/>
      <w:r>
        <w:rPr>
          <w:rFonts w:hint="eastAsia" w:ascii="黑体" w:eastAsia="黑体"/>
          <w:color w:val="000000"/>
          <w:szCs w:val="32"/>
        </w:rPr>
        <w:t>六</w:t>
      </w:r>
      <w:r>
        <w:rPr>
          <w:rFonts w:hint="eastAsia" w:ascii="黑体" w:eastAsia="黑体"/>
          <w:b/>
          <w:color w:val="000000"/>
          <w:szCs w:val="32"/>
        </w:rPr>
        <w:t>、</w:t>
      </w:r>
      <w:r>
        <w:rPr>
          <w:rFonts w:hint="eastAsia" w:ascii="黑体" w:hAnsi="黑体" w:eastAsia="黑体"/>
          <w:b/>
          <w:color w:val="000000"/>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14:paraId="39631A56">
      <w:pPr>
        <w:ind w:firstLine="645"/>
        <w:contextualSpacing/>
        <w:rPr>
          <w:rFonts w:ascii="仿宋_GB2312" w:hAnsi="仿宋"/>
          <w:color w:val="000000"/>
          <w:szCs w:val="32"/>
        </w:rPr>
      </w:pPr>
      <w:r>
        <w:rPr>
          <w:rFonts w:hint="eastAsia" w:ascii="仿宋_GB2312" w:hAnsi="仿宋"/>
          <w:color w:val="000000"/>
          <w:szCs w:val="32"/>
        </w:rPr>
        <w:t>2019年一般公共预算财政拨款基本支出842.76万元，其中：</w:t>
      </w:r>
    </w:p>
    <w:p w14:paraId="5D8E786B">
      <w:pPr>
        <w:ind w:firstLine="645"/>
        <w:contextualSpacing/>
        <w:rPr>
          <w:rFonts w:ascii="仿宋_GB2312" w:hAnsi="仿宋"/>
          <w:color w:val="000000"/>
          <w:szCs w:val="32"/>
        </w:rPr>
      </w:pPr>
      <w:r>
        <w:rPr>
          <w:rFonts w:hint="eastAsia" w:ascii="仿宋_GB2312" w:hAnsi="仿宋"/>
          <w:color w:val="000000"/>
          <w:szCs w:val="32"/>
        </w:rPr>
        <w:t>人员经费735.39万元，主要包括：基本工资、津贴补贴、奖金、伙食补助费、机关事业单位基本养老保险缴费、职业年金缴费、职工基本医疗保险缴费、其他社会保障缴费、其他工资福利支出、奖励金、住房公积金支出等。</w:t>
      </w:r>
      <w:r>
        <w:rPr>
          <w:rFonts w:hint="eastAsia" w:ascii="仿宋_GB2312" w:hAnsi="仿宋"/>
          <w:color w:val="000000"/>
          <w:szCs w:val="32"/>
        </w:rPr>
        <w:br w:type="textWrapping"/>
      </w:r>
      <w:r>
        <w:rPr>
          <w:rFonts w:hint="eastAsia" w:ascii="仿宋_GB2312" w:hAnsi="仿宋"/>
          <w:color w:val="000000"/>
          <w:szCs w:val="32"/>
        </w:rPr>
        <w:t>　　日常公用经费107.37万元，主要包括：办公费、印刷费、邮电费、差旅费、维修（护）费、培训费、委托业务费、工会经费、福利费、公务用车运行维护费、其他交通费、其他商品和服务支出、专用设备购置支出等。</w:t>
      </w:r>
    </w:p>
    <w:p w14:paraId="3710DB48">
      <w:pPr>
        <w:ind w:firstLine="640"/>
        <w:contextualSpacing/>
        <w:outlineLvl w:val="1"/>
        <w:rPr>
          <w:rStyle w:val="26"/>
          <w:rFonts w:ascii="黑体" w:hAnsi="黑体" w:eastAsia="黑体"/>
          <w:b w:val="0"/>
        </w:rPr>
      </w:pPr>
      <w:bookmarkStart w:id="42" w:name="_Toc15396609"/>
      <w:bookmarkStart w:id="43" w:name="_Toc15377215"/>
      <w:r>
        <w:rPr>
          <w:rFonts w:hint="eastAsia" w:ascii="黑体" w:eastAsia="黑体"/>
          <w:color w:val="000000"/>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14:paraId="241B57CF">
      <w:pPr>
        <w:ind w:firstLine="640"/>
        <w:contextualSpacing/>
        <w:outlineLvl w:val="2"/>
        <w:rPr>
          <w:rFonts w:ascii="楷体_GB2312" w:hAnsi="仿宋" w:eastAsia="楷体_GB2312"/>
          <w:color w:val="000000"/>
          <w:szCs w:val="32"/>
        </w:rPr>
      </w:pPr>
      <w:bookmarkStart w:id="44" w:name="_Toc15377216"/>
      <w:r>
        <w:rPr>
          <w:rFonts w:hint="eastAsia" w:ascii="楷体_GB2312" w:hAnsi="仿宋" w:eastAsia="楷体_GB2312"/>
          <w:color w:val="000000"/>
          <w:szCs w:val="32"/>
        </w:rPr>
        <w:t>（一）“三公”经费财政拨款支出决算总体情况说明</w:t>
      </w:r>
      <w:bookmarkEnd w:id="44"/>
    </w:p>
    <w:p w14:paraId="63065E73">
      <w:pPr>
        <w:ind w:firstLine="640"/>
        <w:contextualSpacing/>
        <w:rPr>
          <w:rFonts w:ascii="仿宋_GB2312" w:hAnsi="仿宋"/>
          <w:color w:val="000000"/>
          <w:szCs w:val="32"/>
        </w:rPr>
      </w:pPr>
      <w:r>
        <w:rPr>
          <w:rFonts w:hint="eastAsia" w:ascii="仿宋_GB2312" w:hAnsi="仿宋"/>
          <w:color w:val="000000"/>
          <w:szCs w:val="32"/>
        </w:rPr>
        <w:t>2019年“三公”经费财政拨款支出决算为24.59万元，完成预算79.32%，决算数小于预算数的主要原因是按照中央八项规定和厉行勤俭节约的要求，对公务接待费进行压缩。</w:t>
      </w:r>
    </w:p>
    <w:p w14:paraId="0DE02CA9">
      <w:pPr>
        <w:ind w:firstLine="640"/>
        <w:contextualSpacing/>
        <w:outlineLvl w:val="2"/>
        <w:rPr>
          <w:rFonts w:ascii="楷体_GB2312" w:hAnsi="仿宋" w:eastAsia="楷体_GB2312"/>
          <w:color w:val="000000"/>
          <w:szCs w:val="32"/>
        </w:rPr>
      </w:pPr>
      <w:bookmarkStart w:id="45" w:name="_Toc15377217"/>
      <w:r>
        <w:rPr>
          <w:rFonts w:hint="eastAsia" w:ascii="楷体_GB2312" w:hAnsi="仿宋" w:eastAsia="楷体_GB2312"/>
          <w:color w:val="000000"/>
          <w:szCs w:val="32"/>
        </w:rPr>
        <w:t>（二）“三公”经费财政拨款支出决算具体情况说明</w:t>
      </w:r>
      <w:bookmarkEnd w:id="45"/>
    </w:p>
    <w:p w14:paraId="21C2B9D5">
      <w:pPr>
        <w:ind w:firstLine="640"/>
        <w:contextualSpacing/>
        <w:rPr>
          <w:rFonts w:ascii="仿宋_GB2312" w:hAnsi="仿宋"/>
          <w:color w:val="000000"/>
          <w:szCs w:val="32"/>
        </w:rPr>
      </w:pPr>
      <w:r>
        <w:rPr>
          <w:rFonts w:hint="eastAsia" w:ascii="仿宋_GB2312" w:hAnsi="仿宋"/>
          <w:color w:val="000000"/>
          <w:szCs w:val="32"/>
        </w:rPr>
        <w:t>2019年“三公”经费财政拨款支出决算中，因公出国（境）费支出决算7.53万元，占30.62%；公务用车购置及运行维护费支出决算2.74万元，占11.14%；公务接待费支出决算14.32万元，占58.24%。具体情况如下：</w:t>
      </w:r>
    </w:p>
    <w:p w14:paraId="0C13E652">
      <w:pPr>
        <w:rPr>
          <w:rFonts w:ascii="仿宋" w:hAnsi="仿宋" w:eastAsia="仿宋"/>
          <w:color w:val="000000"/>
          <w:szCs w:val="32"/>
        </w:rPr>
      </w:pPr>
      <w:r>
        <w:rPr>
          <w:rFonts w:ascii="仿宋" w:hAnsi="仿宋" w:eastAsia="仿宋"/>
          <w:color w:val="000000"/>
          <w:szCs w:val="32"/>
        </w:rPr>
        <w:drawing>
          <wp:inline distT="0" distB="0" distL="0" distR="0">
            <wp:extent cx="5600700" cy="30765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64CFA9">
      <w:pPr>
        <w:spacing w:line="600" w:lineRule="exact"/>
        <w:ind w:firstLine="640"/>
        <w:rPr>
          <w:rFonts w:ascii="仿宋" w:hAnsi="仿宋" w:eastAsia="仿宋"/>
          <w:color w:val="000000"/>
          <w:szCs w:val="32"/>
        </w:rPr>
      </w:pPr>
      <w:r>
        <w:rPr>
          <w:rFonts w:hint="eastAsia" w:ascii="仿宋" w:hAnsi="仿宋" w:eastAsia="仿宋"/>
          <w:color w:val="000000"/>
          <w:szCs w:val="32"/>
        </w:rPr>
        <w:t>（图7：“三公”经费财政拨款支出结构）（饼状图）</w:t>
      </w:r>
    </w:p>
    <w:p w14:paraId="741F71FB">
      <w:pPr>
        <w:ind w:firstLine="640"/>
        <w:contextualSpacing/>
        <w:rPr>
          <w:rFonts w:ascii="仿宋_GB2312" w:hAnsi="仿宋"/>
          <w:color w:val="000000"/>
          <w:szCs w:val="32"/>
        </w:rPr>
      </w:pPr>
      <w:r>
        <w:rPr>
          <w:rFonts w:hint="eastAsia" w:ascii="仿宋_GB2312" w:hAnsi="仿宋"/>
          <w:color w:val="000000"/>
          <w:szCs w:val="32"/>
        </w:rPr>
        <w:t>1.因公出国（境）经费支出7.53万元</w:t>
      </w:r>
      <w:r>
        <w:rPr>
          <w:rFonts w:hint="eastAsia" w:ascii="仿宋_GB2312"/>
          <w:color w:val="000000"/>
          <w:szCs w:val="32"/>
        </w:rPr>
        <w:t>，</w:t>
      </w:r>
      <w:r>
        <w:rPr>
          <w:rStyle w:val="15"/>
          <w:rFonts w:hint="eastAsia" w:ascii="仿宋_GB2312" w:hAnsi="仿宋"/>
          <w:bCs/>
          <w:color w:val="000000"/>
          <w:szCs w:val="32"/>
        </w:rPr>
        <w:t>完成预算37.65%。</w:t>
      </w:r>
      <w:r>
        <w:rPr>
          <w:rFonts w:hint="eastAsia" w:ascii="仿宋_GB2312" w:hAnsi="仿宋"/>
          <w:color w:val="000000"/>
          <w:szCs w:val="32"/>
        </w:rPr>
        <w:t>全年安排因公出国（境）团组2次，出国（境）2人。因公出国（境）支出决算比2018年减少1.2万元，下降13.75%。主要原因是因公出国（境）批次和人次减少，相应支出减少。</w:t>
      </w:r>
    </w:p>
    <w:p w14:paraId="5A1E4157">
      <w:pPr>
        <w:ind w:firstLine="640"/>
        <w:contextualSpacing/>
        <w:rPr>
          <w:rFonts w:ascii="仿宋_GB2312" w:hAnsi="仿宋"/>
          <w:color w:val="000000"/>
          <w:szCs w:val="32"/>
        </w:rPr>
      </w:pPr>
      <w:r>
        <w:rPr>
          <w:rFonts w:hint="eastAsia" w:ascii="仿宋_GB2312" w:hAnsi="仿宋"/>
          <w:color w:val="000000"/>
          <w:szCs w:val="32"/>
        </w:rPr>
        <w:t>开支内容包括：</w:t>
      </w:r>
    </w:p>
    <w:p w14:paraId="361534FF">
      <w:pPr>
        <w:ind w:firstLine="632" w:firstLineChars="200"/>
        <w:contextualSpacing/>
        <w:rPr>
          <w:rFonts w:ascii="仿宋_GB2312" w:hAnsi="仿宋"/>
          <w:color w:val="000000"/>
          <w:szCs w:val="32"/>
        </w:rPr>
      </w:pPr>
      <w:r>
        <w:rPr>
          <w:rFonts w:hint="eastAsia" w:ascii="仿宋_GB2312" w:hAnsi="仿宋"/>
          <w:color w:val="000000"/>
          <w:szCs w:val="32"/>
        </w:rPr>
        <w:t>（1）出访美国、日本，参加商务部在洛杉矶举办的“中国-加州经贸论坛”、专题研讨和对接活动，以及在东京举办的中日产业交流及企业对接会，开展相关的拜访和推介活动，促进对外合作。</w:t>
      </w:r>
    </w:p>
    <w:p w14:paraId="46D5C92C">
      <w:pPr>
        <w:ind w:firstLine="632" w:firstLineChars="200"/>
        <w:contextualSpacing/>
        <w:rPr>
          <w:rFonts w:ascii="仿宋_GB2312" w:hAnsi="仿宋"/>
          <w:color w:val="000000"/>
          <w:szCs w:val="32"/>
        </w:rPr>
      </w:pPr>
      <w:r>
        <w:rPr>
          <w:rFonts w:hint="eastAsia" w:ascii="仿宋_GB2312" w:hAnsi="仿宋"/>
          <w:color w:val="000000"/>
          <w:szCs w:val="32"/>
        </w:rPr>
        <w:t>（2）赴泰国、老挝进行交流访问，促进与东盟国家的对外交流合作。</w:t>
      </w:r>
    </w:p>
    <w:p w14:paraId="6DA89724">
      <w:pPr>
        <w:pStyle w:val="31"/>
        <w:spacing w:line="240" w:lineRule="auto"/>
        <w:ind w:firstLine="632"/>
        <w:contextualSpacing/>
      </w:pPr>
      <w:r>
        <w:rPr>
          <w:rFonts w:hint="eastAsia" w:hAnsi="仿宋"/>
          <w:color w:val="000000"/>
        </w:rPr>
        <w:t>2.公务用车购置及运行维护费支出2.47万元,</w:t>
      </w:r>
      <w:r>
        <w:rPr>
          <w:rStyle w:val="15"/>
          <w:rFonts w:hint="eastAsia" w:hAnsi="仿宋"/>
          <w:bCs/>
          <w:color w:val="000000"/>
        </w:rPr>
        <w:t>完成预算82.33%。</w:t>
      </w:r>
      <w:r>
        <w:rPr>
          <w:rFonts w:hint="eastAsia" w:hAnsi="仿宋"/>
          <w:color w:val="000000"/>
        </w:rPr>
        <w:t>公务用车购置及运行维护费支出决算比2018年减少1.87万元，下降43.09%。主要原因是贯彻落实厉行节约有关要求，对经费支出进行压减。</w:t>
      </w:r>
    </w:p>
    <w:p w14:paraId="2E312DD9">
      <w:pPr>
        <w:ind w:firstLine="632" w:firstLineChars="200"/>
        <w:contextualSpacing/>
        <w:rPr>
          <w:rFonts w:ascii="仿宋_GB2312" w:hAnsi="仿宋"/>
          <w:color w:val="000000"/>
          <w:szCs w:val="32"/>
        </w:rPr>
      </w:pPr>
      <w:r>
        <w:rPr>
          <w:rFonts w:hint="eastAsia" w:ascii="仿宋_GB2312" w:hAnsi="仿宋"/>
          <w:color w:val="000000"/>
          <w:szCs w:val="32"/>
        </w:rPr>
        <w:t>其中：无公务用车购置支出。截至2019年12月底，单位共有公务用车1辆，其中：主要领导干部用车0辆、机要通信用车1辆、应急保障用车0辆、执法执勤用车0辆。</w:t>
      </w:r>
    </w:p>
    <w:p w14:paraId="54CDF556">
      <w:pPr>
        <w:ind w:firstLine="640"/>
        <w:contextualSpacing/>
        <w:rPr>
          <w:rFonts w:ascii="仿宋_GB2312"/>
          <w:color w:val="000000"/>
          <w:szCs w:val="32"/>
        </w:rPr>
      </w:pPr>
      <w:r>
        <w:rPr>
          <w:rFonts w:hint="eastAsia" w:ascii="仿宋_GB2312" w:hAnsi="仿宋"/>
          <w:color w:val="000000"/>
          <w:szCs w:val="32"/>
        </w:rPr>
        <w:t>公务用车运行维护费支出2.47万元。主要用于机要保密、招商引资、企业帮扶、基层调研、公务接待、公务出差或会议、工作联系等所需的公务用车燃料费、维修费、过路过桥费、保险费等支出。</w:t>
      </w:r>
    </w:p>
    <w:p w14:paraId="0ECD21EF">
      <w:pPr>
        <w:ind w:firstLine="556" w:firstLineChars="176"/>
        <w:contextualSpacing/>
        <w:rPr>
          <w:rFonts w:ascii="仿宋_GB2312" w:hAnsi="仿宋"/>
          <w:color w:val="000000"/>
          <w:szCs w:val="32"/>
        </w:rPr>
      </w:pPr>
      <w:r>
        <w:rPr>
          <w:rFonts w:hint="eastAsia" w:ascii="仿宋_GB2312" w:hAnsi="仿宋"/>
          <w:color w:val="000000"/>
          <w:szCs w:val="32"/>
        </w:rPr>
        <w:t>3.公务接待费支出14.32万元，完成预算100%。公务接待费支出决算比2018年增加3.27万元，增长29.59%。主要原因是招商引资项目较上年增加，招商接待批次、人次增加，相应支出增加。其中：国内公务接待58批次，982人次（不包括陪同人员），共计支出14.32万元，主要用于执行公务、开展业务活动开支的交通费、住宿费、用餐费等。具体内容包括：上海宝冶集团公司、中冶赛迪集团公司、北京纬世天然科技股份有限公司、中建一局西南公司、四川易诚智讯有限公司、协鑫（集团）控股有限公司、国药控股四川医药股份有限公司、国开资本伟大汇通公司等商务考察、项目洽谈。</w:t>
      </w:r>
    </w:p>
    <w:p w14:paraId="5847887B">
      <w:pPr>
        <w:ind w:firstLine="632" w:firstLineChars="200"/>
        <w:contextualSpacing/>
        <w:rPr>
          <w:rFonts w:ascii="仿宋_GB2312"/>
          <w:color w:val="000000" w:themeColor="text1"/>
          <w:szCs w:val="32"/>
        </w:rPr>
      </w:pPr>
      <w:r>
        <w:rPr>
          <w:rFonts w:hint="eastAsia" w:ascii="仿宋_GB2312" w:hAnsi="仿宋"/>
          <w:color w:val="000000"/>
          <w:szCs w:val="32"/>
        </w:rPr>
        <w:t>2019年无外事接待支出。</w:t>
      </w:r>
      <w:bookmarkStart w:id="46" w:name="_Toc15396610"/>
      <w:bookmarkStart w:id="47" w:name="_Toc15377218"/>
    </w:p>
    <w:p w14:paraId="266469B8">
      <w:pPr>
        <w:ind w:firstLine="640"/>
        <w:contextualSpacing/>
        <w:outlineLvl w:val="1"/>
        <w:rPr>
          <w:rStyle w:val="26"/>
          <w:rFonts w:ascii="黑体" w:hAnsi="黑体" w:eastAsia="黑体"/>
        </w:rPr>
      </w:pPr>
      <w:r>
        <w:rPr>
          <w:rFonts w:hint="eastAsia" w:ascii="黑体" w:hAnsi="黑体" w:eastAsia="黑体"/>
          <w:color w:val="000000"/>
          <w:szCs w:val="32"/>
        </w:rPr>
        <w:t>八、</w:t>
      </w:r>
      <w:r>
        <w:rPr>
          <w:rStyle w:val="26"/>
          <w:rFonts w:hint="eastAsia" w:ascii="黑体" w:hAnsi="黑体" w:eastAsia="黑体"/>
          <w:b w:val="0"/>
        </w:rPr>
        <w:t>政府性基金预算支出决算情况说明</w:t>
      </w:r>
      <w:bookmarkEnd w:id="46"/>
      <w:bookmarkEnd w:id="47"/>
    </w:p>
    <w:p w14:paraId="49B33E20">
      <w:pPr>
        <w:ind w:firstLine="640"/>
        <w:contextualSpacing/>
        <w:rPr>
          <w:rFonts w:ascii="仿宋_GB2312" w:hAnsi="仿宋"/>
          <w:color w:val="000000"/>
          <w:szCs w:val="32"/>
        </w:rPr>
      </w:pPr>
      <w:r>
        <w:rPr>
          <w:rFonts w:hint="eastAsia" w:ascii="仿宋_GB2312" w:hAnsi="仿宋"/>
          <w:color w:val="000000"/>
          <w:szCs w:val="32"/>
        </w:rPr>
        <w:t>2019年无政府性基金预算拨款支出。</w:t>
      </w:r>
    </w:p>
    <w:p w14:paraId="4DB33A73">
      <w:pPr>
        <w:ind w:firstLine="632" w:firstLineChars="200"/>
        <w:contextualSpacing/>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九、国有资本经营预算支出决算情况说明</w:t>
      </w:r>
      <w:bookmarkEnd w:id="48"/>
      <w:bookmarkEnd w:id="49"/>
    </w:p>
    <w:p w14:paraId="19A9D004">
      <w:pPr>
        <w:ind w:firstLine="640"/>
        <w:contextualSpacing/>
        <w:rPr>
          <w:rFonts w:ascii="仿宋_GB2312" w:hAnsi="仿宋"/>
          <w:color w:val="000000"/>
          <w:szCs w:val="32"/>
        </w:rPr>
      </w:pPr>
      <w:r>
        <w:rPr>
          <w:rFonts w:hint="eastAsia" w:ascii="仿宋_GB2312" w:hAnsi="仿宋"/>
          <w:color w:val="000000"/>
          <w:szCs w:val="32"/>
        </w:rPr>
        <w:t>2019年无国有资本经营预算拨款支出。</w:t>
      </w:r>
    </w:p>
    <w:p w14:paraId="621D8E02">
      <w:pPr>
        <w:ind w:firstLine="790" w:firstLineChars="250"/>
        <w:contextualSpacing/>
        <w:outlineLvl w:val="1"/>
        <w:rPr>
          <w:rStyle w:val="26"/>
          <w:rFonts w:ascii="黑体" w:hAnsi="黑体" w:eastAsia="黑体"/>
        </w:rPr>
      </w:pPr>
      <w:bookmarkStart w:id="50" w:name="_Toc15396612"/>
      <w:bookmarkStart w:id="51" w:name="_Toc15377221"/>
      <w:r>
        <w:rPr>
          <w:rFonts w:hint="eastAsia" w:ascii="黑体" w:hAnsi="黑体" w:eastAsia="黑体"/>
          <w:color w:val="000000"/>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14:paraId="25ECF46F">
      <w:pPr>
        <w:ind w:firstLine="632" w:firstLineChars="200"/>
        <w:contextualSpacing/>
        <w:outlineLvl w:val="2"/>
        <w:rPr>
          <w:rFonts w:ascii="楷体_GB2312" w:hAnsi="仿宋" w:eastAsia="楷体_GB2312"/>
          <w:color w:val="000000"/>
          <w:szCs w:val="32"/>
        </w:rPr>
      </w:pPr>
      <w:bookmarkStart w:id="52" w:name="_Toc15377222"/>
      <w:r>
        <w:rPr>
          <w:rFonts w:hint="eastAsia" w:ascii="楷体_GB2312" w:hAnsi="仿宋" w:eastAsia="楷体_GB2312"/>
          <w:color w:val="000000"/>
          <w:szCs w:val="32"/>
        </w:rPr>
        <w:t>（一）机关运行经费支出情况</w:t>
      </w:r>
      <w:bookmarkEnd w:id="52"/>
    </w:p>
    <w:p w14:paraId="4DA7CAAC">
      <w:pPr>
        <w:ind w:firstLine="632" w:firstLineChars="200"/>
        <w:contextualSpacing/>
        <w:rPr>
          <w:rFonts w:ascii="仿宋_GB2312" w:hAnsi="仿宋"/>
          <w:color w:val="000000"/>
          <w:szCs w:val="32"/>
        </w:rPr>
      </w:pPr>
      <w:r>
        <w:rPr>
          <w:rFonts w:hint="eastAsia" w:ascii="仿宋_GB2312" w:hAnsi="仿宋"/>
          <w:color w:val="000000"/>
          <w:szCs w:val="32"/>
        </w:rPr>
        <w:t>2019年，高新区党工委办公室机关运行经费支出107.37万元，比2018年减少10.73万元，下降9.09%（或与2018年决算数持平）。主要原因是按照厉行勤俭节约的要求，严格把控各项经费支出。</w:t>
      </w:r>
    </w:p>
    <w:p w14:paraId="2B062ACB">
      <w:pPr>
        <w:autoSpaceDE w:val="0"/>
        <w:autoSpaceDN w:val="0"/>
        <w:adjustRightInd w:val="0"/>
        <w:ind w:firstLine="632" w:firstLineChars="200"/>
        <w:contextualSpacing/>
        <w:outlineLvl w:val="2"/>
        <w:rPr>
          <w:rFonts w:ascii="楷体_GB2312" w:hAnsi="仿宋" w:eastAsia="楷体_GB2312"/>
          <w:color w:val="000000"/>
          <w:szCs w:val="32"/>
        </w:rPr>
      </w:pPr>
      <w:bookmarkStart w:id="53" w:name="_Toc15377223"/>
      <w:r>
        <w:rPr>
          <w:rFonts w:hint="eastAsia" w:ascii="楷体_GB2312" w:hAnsi="仿宋" w:eastAsia="楷体_GB2312"/>
          <w:color w:val="000000"/>
          <w:szCs w:val="32"/>
        </w:rPr>
        <w:t>（二）政府采购支出情况</w:t>
      </w:r>
      <w:bookmarkEnd w:id="53"/>
    </w:p>
    <w:p w14:paraId="4ADD7457">
      <w:pPr>
        <w:ind w:firstLine="632" w:firstLineChars="200"/>
        <w:contextualSpacing/>
        <w:rPr>
          <w:rFonts w:ascii="仿宋_GB2312" w:hAnsi="仿宋"/>
          <w:color w:val="000000"/>
          <w:szCs w:val="32"/>
        </w:rPr>
      </w:pPr>
      <w:r>
        <w:rPr>
          <w:rFonts w:hint="eastAsia" w:ascii="仿宋_GB2312"/>
          <w:color w:val="000000"/>
          <w:szCs w:val="32"/>
        </w:rPr>
        <w:t>2019年，</w:t>
      </w:r>
      <w:r>
        <w:rPr>
          <w:rFonts w:hint="eastAsia" w:ascii="仿宋_GB2312" w:hAnsi="仿宋"/>
          <w:color w:val="000000"/>
          <w:szCs w:val="32"/>
        </w:rPr>
        <w:t>高新区党工委办公室政府采购支出总额2.86万元，其中：政府采购货物支出2.86万元、政府采购工程支出0万元、政府采购服务支出0万元。主要用于购置会议用投影仪等办公设备。授予中小企业合同金额0万元，占政府采购支出总额的0%，其中：授予小微企业合同金额0万元，占政府采购支出总额的0%。</w:t>
      </w:r>
    </w:p>
    <w:p w14:paraId="39571CB4">
      <w:pPr>
        <w:autoSpaceDE w:val="0"/>
        <w:autoSpaceDN w:val="0"/>
        <w:adjustRightInd w:val="0"/>
        <w:ind w:firstLine="632" w:firstLineChars="200"/>
        <w:contextualSpacing/>
        <w:outlineLvl w:val="2"/>
        <w:rPr>
          <w:rFonts w:ascii="楷体_GB2312" w:hAnsi="仿宋" w:eastAsia="楷体_GB2312"/>
          <w:color w:val="000000"/>
          <w:szCs w:val="32"/>
        </w:rPr>
      </w:pPr>
      <w:bookmarkStart w:id="54" w:name="_Toc15377224"/>
      <w:r>
        <w:rPr>
          <w:rFonts w:hint="eastAsia" w:ascii="楷体_GB2312" w:hAnsi="仿宋" w:eastAsia="楷体_GB2312"/>
          <w:color w:val="000000"/>
          <w:szCs w:val="32"/>
        </w:rPr>
        <w:t>（三）国有资产占有使用情况</w:t>
      </w:r>
      <w:bookmarkEnd w:id="54"/>
    </w:p>
    <w:p w14:paraId="3B8F85EE">
      <w:pPr>
        <w:autoSpaceDE w:val="0"/>
        <w:autoSpaceDN w:val="0"/>
        <w:adjustRightInd w:val="0"/>
        <w:ind w:firstLine="632" w:firstLineChars="200"/>
        <w:contextualSpacing/>
        <w:rPr>
          <w:rFonts w:ascii="仿宋_GB2312" w:hAnsi="仿宋"/>
          <w:color w:val="FF0000"/>
          <w:szCs w:val="32"/>
        </w:rPr>
      </w:pPr>
      <w:r>
        <w:rPr>
          <w:rFonts w:hint="eastAsia" w:ascii="仿宋_GB2312" w:hAnsi="仿宋"/>
          <w:color w:val="000000"/>
          <w:szCs w:val="32"/>
        </w:rPr>
        <w:t>截至2019年12月31日，高新区党工委办公室共有车辆12辆，其中：主要领导干部用车0辆、机要通信用车1辆、应急保障用车0辆、其他用车11辆（已拍卖处置，待账务处理），单价50万元以上通用设备2台（套），单价100万元以上专用设备0台（套）。</w:t>
      </w:r>
    </w:p>
    <w:p w14:paraId="57BF4BBE">
      <w:pPr>
        <w:autoSpaceDE w:val="0"/>
        <w:autoSpaceDN w:val="0"/>
        <w:adjustRightInd w:val="0"/>
        <w:ind w:firstLine="632" w:firstLineChars="200"/>
        <w:contextualSpacing/>
        <w:outlineLvl w:val="2"/>
        <w:rPr>
          <w:rFonts w:ascii="楷体_GB2312" w:hAnsi="仿宋" w:eastAsia="楷体_GB2312"/>
          <w:color w:val="000000"/>
          <w:szCs w:val="32"/>
        </w:rPr>
      </w:pPr>
      <w:r>
        <w:rPr>
          <w:rFonts w:hint="eastAsia" w:ascii="楷体_GB2312" w:hAnsi="仿宋" w:eastAsia="楷体_GB2312"/>
          <w:color w:val="000000"/>
          <w:szCs w:val="32"/>
        </w:rPr>
        <w:t>（四）预算绩效管理情况。</w:t>
      </w:r>
    </w:p>
    <w:p w14:paraId="54CD2A87">
      <w:pPr>
        <w:ind w:firstLine="632" w:firstLineChars="200"/>
        <w:contextualSpacing/>
        <w:rPr>
          <w:rFonts w:ascii="仿宋_GB2312" w:hAnsi="仿宋"/>
          <w:color w:val="000000"/>
          <w:szCs w:val="32"/>
        </w:rPr>
      </w:pPr>
      <w:r>
        <w:rPr>
          <w:rFonts w:hint="eastAsia" w:ascii="仿宋_GB2312" w:hAnsi="仿宋"/>
          <w:color w:val="000000"/>
          <w:szCs w:val="32"/>
        </w:rPr>
        <w:t>根据预算绩效管理要求，本部门在年初预算编制阶段，组织对8个项目开展了预算事前绩效评估，编制了项目绩效目标，预算执行过程中，选取5个项目开展绩效监控，年终执行完毕后，对5个项目开展了绩效目标完成情况梳理填报。</w:t>
      </w:r>
    </w:p>
    <w:p w14:paraId="252CD8F0">
      <w:pPr>
        <w:pStyle w:val="32"/>
        <w:numPr>
          <w:ilvl w:val="0"/>
          <w:numId w:val="0"/>
        </w:numPr>
        <w:spacing w:line="240" w:lineRule="auto"/>
        <w:ind w:left="139" w:leftChars="44" w:firstLine="641" w:firstLineChars="203"/>
        <w:contextualSpacing/>
        <w:jc w:val="both"/>
        <w:rPr>
          <w:rFonts w:ascii="仿宋_GB2312" w:hAnsi="仿宋" w:eastAsia="仿宋_GB2312"/>
          <w:szCs w:val="32"/>
        </w:rPr>
      </w:pPr>
      <w:r>
        <w:rPr>
          <w:rFonts w:hint="eastAsia" w:ascii="仿宋_GB2312" w:hAnsi="仿宋" w:eastAsia="仿宋_GB2312"/>
          <w:color w:val="000000"/>
          <w:szCs w:val="32"/>
        </w:rPr>
        <w:t>本部门按要求对2019年部门整体支出开展绩效自评，从评价情况来看高新区党工委办公室2019年部门支出与年初预算基本一致，达到预期绩效目标。按照财经法规及制度使用、管理资金。严格按照年初预算批复认真组织实施,严格执行财经纪律相关管理规定，做到各项收支安排使用符合财政政策的要求，确保了单位正常运行，较好地完成了2019年部门预算编制和决算汇总工作, 2019年目标任务基本完成，预算执行情况较好。</w:t>
      </w:r>
    </w:p>
    <w:p w14:paraId="3FDB7991">
      <w:pPr>
        <w:ind w:firstLine="632" w:firstLineChars="200"/>
        <w:contextualSpacing/>
        <w:rPr>
          <w:rFonts w:ascii="仿宋_GB2312" w:hAnsi="楷体_GB2312" w:cs="楷体_GB2312"/>
          <w:szCs w:val="32"/>
        </w:rPr>
      </w:pPr>
      <w:r>
        <w:rPr>
          <w:rFonts w:hint="eastAsia" w:ascii="仿宋_GB2312" w:hAnsi="楷体_GB2312" w:cs="楷体_GB2312"/>
          <w:szCs w:val="32"/>
        </w:rPr>
        <w:t>1.项目绩效目标完成情况。</w:t>
      </w:r>
      <w:r>
        <w:rPr>
          <w:rFonts w:hint="eastAsia" w:ascii="仿宋_GB2312" w:hAnsi="楷体_GB2312" w:cs="楷体_GB2312"/>
          <w:szCs w:val="32"/>
        </w:rPr>
        <w:br w:type="textWrapping"/>
      </w:r>
      <w:r>
        <w:rPr>
          <w:rFonts w:hint="eastAsia" w:ascii="仿宋_GB2312" w:hAnsi="楷体_GB2312" w:cs="楷体_GB2312"/>
          <w:szCs w:val="32"/>
        </w:rPr>
        <w:t xml:space="preserve">    本部门在2019年度部门决算中反映“管委会运行经费”“全区党报党刊征订经费”“招商经费”等5个项目绩效目标实际完成情况。</w:t>
      </w:r>
    </w:p>
    <w:p w14:paraId="6028DB8B">
      <w:pPr>
        <w:tabs>
          <w:tab w:val="left" w:pos="312"/>
        </w:tabs>
        <w:ind w:firstLine="632" w:firstLineChars="200"/>
        <w:contextualSpacing/>
        <w:rPr>
          <w:rFonts w:ascii="仿宋_GB2312" w:hAnsi="楷体_GB2312" w:cs="楷体_GB2312"/>
          <w:szCs w:val="32"/>
        </w:rPr>
      </w:pPr>
      <w:r>
        <w:rPr>
          <w:rFonts w:hint="eastAsia" w:ascii="仿宋_GB2312" w:hAnsi="楷体_GB2312" w:cs="楷体_GB2312"/>
          <w:szCs w:val="32"/>
        </w:rPr>
        <w:t>（1）“管委会运行经费”项目绩效目标完成情况综述。项目全年预算数281.03万元，执行数250.79万元，完成预算的89.24%。通过项目实施，保障高新区管委会各职能部门日常工作的正常开展。按月及时缴纳管委会办公楼、食堂水、电、气费；支付管委会网络数据通信运行维护费，食堂工作人员、临聘人员及劳务派遣员劳务费；做好管委会办公软件、网络维护管理及管委会办公楼日常维护等。</w:t>
      </w:r>
    </w:p>
    <w:p w14:paraId="269D6078">
      <w:pPr>
        <w:tabs>
          <w:tab w:val="left" w:pos="312"/>
        </w:tabs>
        <w:ind w:firstLine="632" w:firstLineChars="200"/>
        <w:contextualSpacing/>
        <w:rPr>
          <w:rFonts w:ascii="仿宋_GB2312" w:hAnsi="楷体_GB2312" w:cs="楷体_GB2312"/>
          <w:szCs w:val="32"/>
        </w:rPr>
      </w:pPr>
      <w:r>
        <w:rPr>
          <w:rFonts w:hint="eastAsia" w:ascii="仿宋_GB2312" w:hAnsi="楷体_GB2312" w:cs="楷体_GB2312"/>
          <w:szCs w:val="32"/>
        </w:rPr>
        <w:t>（2）“全区党报党刊征订经费”项目绩效目标完成情况综述。项目全年预算数35万元，执行数为30.35万元，完成预算的86.71%。通过项目实施，完成市下达的《人民日报》、《四川日报》《乐山日报》《经济日报》《求是》等党报党刊征订。</w:t>
      </w:r>
    </w:p>
    <w:p w14:paraId="34D731EA">
      <w:pPr>
        <w:tabs>
          <w:tab w:val="left" w:pos="312"/>
        </w:tabs>
        <w:ind w:firstLine="632" w:firstLineChars="200"/>
        <w:contextualSpacing/>
        <w:rPr>
          <w:rFonts w:ascii="仿宋_GB2312" w:hAnsi="楷体_GB2312" w:cs="楷体_GB2312"/>
          <w:szCs w:val="32"/>
        </w:rPr>
      </w:pPr>
      <w:r>
        <w:rPr>
          <w:rFonts w:hint="eastAsia" w:ascii="仿宋_GB2312" w:hAnsi="楷体_GB2312" w:cs="楷体_GB2312"/>
          <w:szCs w:val="32"/>
        </w:rPr>
        <w:t>（3）“招商经费”项目绩效目标完成情况综述。项目全年预算数100万元，执行数为75.47万元，完成预算的75.47%。通过项目实施，大力度、高质量完成项目招商工作。2019年全年全区签约引进项目27个，签约总部经济项目22个，签约数字经济项目14个。</w:t>
      </w:r>
    </w:p>
    <w:p w14:paraId="2FB17450">
      <w:pPr>
        <w:tabs>
          <w:tab w:val="left" w:pos="312"/>
        </w:tabs>
        <w:ind w:firstLine="632" w:firstLineChars="200"/>
        <w:contextualSpacing/>
        <w:rPr>
          <w:rFonts w:ascii="仿宋_GB2312" w:hAnsi="楷体_GB2312" w:cs="楷体_GB2312"/>
          <w:szCs w:val="32"/>
        </w:rPr>
      </w:pPr>
      <w:r>
        <w:rPr>
          <w:rFonts w:hint="eastAsia" w:ascii="仿宋_GB2312" w:hAnsi="楷体_GB2312" w:cs="楷体_GB2312"/>
          <w:szCs w:val="32"/>
        </w:rPr>
        <w:t>（4）“精准扶贫、驻村帮扶”项目绩效目标完成情况综述。项目全年预算数108.54万元，执行数108.54万元，完成预算的100%。通过项目实施，保障精准扶贫、对口帮扶马边县民建镇兴隆村，通村公路亮化、公共食堂及公共厕所建设、党群服务中心办公设备购置、环境风貌改造、公共食堂设施购置、走访慰问、贫困户住房改造等年度帮扶任务。</w:t>
      </w:r>
    </w:p>
    <w:p w14:paraId="20EC4ACF">
      <w:pPr>
        <w:tabs>
          <w:tab w:val="left" w:pos="312"/>
        </w:tabs>
        <w:ind w:firstLine="632" w:firstLineChars="200"/>
        <w:contextualSpacing/>
        <w:rPr>
          <w:rFonts w:ascii="仿宋_GB2312" w:hAnsi="楷体_GB2312" w:cs="楷体_GB2312"/>
          <w:szCs w:val="32"/>
        </w:rPr>
      </w:pPr>
      <w:r>
        <w:rPr>
          <w:rFonts w:hint="eastAsia" w:ascii="仿宋_GB2312" w:hAnsi="楷体_GB2312" w:cs="楷体_GB2312"/>
          <w:szCs w:val="32"/>
        </w:rPr>
        <w:t>（5）“创文专项经费”项目绩效目标完成情况综述。项目全年预算数7.92万元，执行数7.69万元，完成预算的97.1%。通过项目实施，顺利通过国家文明城市省级专家暗访和技术评估。</w:t>
      </w:r>
    </w:p>
    <w:p w14:paraId="74C2ABFC">
      <w:pPr>
        <w:tabs>
          <w:tab w:val="left" w:pos="312"/>
        </w:tabs>
        <w:ind w:firstLine="632" w:firstLineChars="200"/>
        <w:contextualSpacing/>
        <w:rPr>
          <w:rFonts w:ascii="仿宋_GB2312" w:hAnsi="楷体_GB2312" w:cs="楷体_GB2312"/>
          <w:szCs w:val="32"/>
        </w:rPr>
      </w:pPr>
    </w:p>
    <w:tbl>
      <w:tblPr>
        <w:tblStyle w:val="13"/>
        <w:tblpPr w:leftFromText="180" w:rightFromText="180" w:vertAnchor="text" w:horzAnchor="page" w:tblpXSpec="center" w:tblpY="423"/>
        <w:tblOverlap w:val="never"/>
        <w:tblW w:w="9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90"/>
        <w:gridCol w:w="162"/>
        <w:gridCol w:w="470"/>
        <w:gridCol w:w="555"/>
        <w:gridCol w:w="2131"/>
        <w:gridCol w:w="2212"/>
        <w:gridCol w:w="2212"/>
      </w:tblGrid>
      <w:tr w14:paraId="35243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9337" w:type="dxa"/>
            <w:gridSpan w:val="8"/>
            <w:tcBorders>
              <w:top w:val="nil"/>
              <w:left w:val="nil"/>
              <w:bottom w:val="single" w:color="000000" w:sz="4" w:space="0"/>
              <w:right w:val="nil"/>
            </w:tcBorders>
            <w:tcMar>
              <w:top w:w="15" w:type="dxa"/>
              <w:left w:w="15" w:type="dxa"/>
              <w:right w:w="15" w:type="dxa"/>
            </w:tcMar>
            <w:vAlign w:val="center"/>
          </w:tcPr>
          <w:p w14:paraId="58774B90">
            <w:pPr>
              <w:widowControl/>
              <w:spacing w:line="400" w:lineRule="exact"/>
              <w:jc w:val="center"/>
              <w:textAlignment w:val="center"/>
              <w:rPr>
                <w:rFonts w:ascii="宋体" w:hAnsi="宋体" w:cs="宋体"/>
                <w:color w:val="000000"/>
                <w:sz w:val="24"/>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5DF1F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5"/>
            <w:tcBorders>
              <w:top w:val="single" w:color="000000" w:sz="4" w:space="0"/>
            </w:tcBorders>
            <w:tcMar>
              <w:top w:w="15" w:type="dxa"/>
              <w:left w:w="15" w:type="dxa"/>
              <w:right w:w="15" w:type="dxa"/>
            </w:tcMar>
            <w:vAlign w:val="center"/>
          </w:tcPr>
          <w:p w14:paraId="03E3CDD3">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项目名称</w:t>
            </w:r>
          </w:p>
        </w:tc>
        <w:tc>
          <w:tcPr>
            <w:tcW w:w="6555" w:type="dxa"/>
            <w:gridSpan w:val="3"/>
            <w:tcBorders>
              <w:top w:val="single" w:color="000000" w:sz="4" w:space="0"/>
            </w:tcBorders>
            <w:tcMar>
              <w:top w:w="15" w:type="dxa"/>
              <w:left w:w="15" w:type="dxa"/>
              <w:right w:w="15" w:type="dxa"/>
            </w:tcMar>
            <w:vAlign w:val="center"/>
          </w:tcPr>
          <w:p w14:paraId="74938415">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管委会运行经费</w:t>
            </w:r>
          </w:p>
        </w:tc>
      </w:tr>
      <w:tr w14:paraId="7B515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5"/>
            <w:tcMar>
              <w:top w:w="15" w:type="dxa"/>
              <w:left w:w="15" w:type="dxa"/>
              <w:right w:w="15" w:type="dxa"/>
            </w:tcMar>
            <w:vAlign w:val="center"/>
          </w:tcPr>
          <w:p w14:paraId="4943BF20">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预算单位</w:t>
            </w:r>
          </w:p>
        </w:tc>
        <w:tc>
          <w:tcPr>
            <w:tcW w:w="6555" w:type="dxa"/>
            <w:gridSpan w:val="3"/>
            <w:tcMar>
              <w:top w:w="15" w:type="dxa"/>
              <w:left w:w="15" w:type="dxa"/>
              <w:right w:w="15" w:type="dxa"/>
            </w:tcMar>
            <w:vAlign w:val="center"/>
          </w:tcPr>
          <w:p w14:paraId="7A85AC01">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党工委办公室</w:t>
            </w:r>
          </w:p>
        </w:tc>
      </w:tr>
      <w:tr w14:paraId="6F15F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5" w:type="dxa"/>
            <w:vMerge w:val="restart"/>
            <w:tcMar>
              <w:top w:w="15" w:type="dxa"/>
              <w:left w:w="15" w:type="dxa"/>
              <w:right w:w="15" w:type="dxa"/>
            </w:tcMar>
            <w:vAlign w:val="center"/>
          </w:tcPr>
          <w:p w14:paraId="754E7985">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预算执行情况(万元)</w:t>
            </w:r>
          </w:p>
        </w:tc>
        <w:tc>
          <w:tcPr>
            <w:tcW w:w="1977" w:type="dxa"/>
            <w:gridSpan w:val="4"/>
            <w:tcMar>
              <w:top w:w="15" w:type="dxa"/>
              <w:left w:w="15" w:type="dxa"/>
              <w:right w:w="15" w:type="dxa"/>
            </w:tcMar>
            <w:vAlign w:val="center"/>
          </w:tcPr>
          <w:p w14:paraId="4745741C">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预算数:</w:t>
            </w:r>
          </w:p>
        </w:tc>
        <w:tc>
          <w:tcPr>
            <w:tcW w:w="2131" w:type="dxa"/>
            <w:tcMar>
              <w:top w:w="15" w:type="dxa"/>
              <w:left w:w="15" w:type="dxa"/>
              <w:right w:w="15" w:type="dxa"/>
            </w:tcMar>
            <w:vAlign w:val="center"/>
          </w:tcPr>
          <w:p w14:paraId="17E553F5">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 xml:space="preserve">281.03万元 </w:t>
            </w:r>
          </w:p>
        </w:tc>
        <w:tc>
          <w:tcPr>
            <w:tcW w:w="2212" w:type="dxa"/>
            <w:tcMar>
              <w:top w:w="15" w:type="dxa"/>
              <w:left w:w="15" w:type="dxa"/>
              <w:right w:w="15" w:type="dxa"/>
            </w:tcMar>
            <w:vAlign w:val="center"/>
          </w:tcPr>
          <w:p w14:paraId="3A979F9F">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执行数:</w:t>
            </w:r>
          </w:p>
        </w:tc>
        <w:tc>
          <w:tcPr>
            <w:tcW w:w="2212" w:type="dxa"/>
            <w:tcMar>
              <w:top w:w="15" w:type="dxa"/>
              <w:left w:w="15" w:type="dxa"/>
              <w:right w:w="15" w:type="dxa"/>
            </w:tcMar>
            <w:vAlign w:val="center"/>
          </w:tcPr>
          <w:p w14:paraId="587578D7">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 xml:space="preserve">250.79万元 </w:t>
            </w:r>
          </w:p>
        </w:tc>
      </w:tr>
      <w:tr w14:paraId="17DE4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5" w:type="dxa"/>
            <w:vMerge w:val="continue"/>
            <w:tcMar>
              <w:top w:w="15" w:type="dxa"/>
              <w:left w:w="15" w:type="dxa"/>
              <w:right w:w="15" w:type="dxa"/>
            </w:tcMar>
            <w:vAlign w:val="center"/>
          </w:tcPr>
          <w:p w14:paraId="47AAD50A">
            <w:pPr>
              <w:spacing w:line="400" w:lineRule="exact"/>
              <w:rPr>
                <w:rFonts w:ascii="仿宋_GB2312" w:hAnsi="黑体" w:cs="宋体"/>
                <w:color w:val="000000"/>
                <w:sz w:val="24"/>
              </w:rPr>
            </w:pPr>
          </w:p>
        </w:tc>
        <w:tc>
          <w:tcPr>
            <w:tcW w:w="1977" w:type="dxa"/>
            <w:gridSpan w:val="4"/>
            <w:tcMar>
              <w:top w:w="15" w:type="dxa"/>
              <w:left w:w="15" w:type="dxa"/>
              <w:right w:w="15" w:type="dxa"/>
            </w:tcMar>
            <w:vAlign w:val="center"/>
          </w:tcPr>
          <w:p w14:paraId="4E5737D9">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其中-财政拨款:</w:t>
            </w:r>
          </w:p>
        </w:tc>
        <w:tc>
          <w:tcPr>
            <w:tcW w:w="2131" w:type="dxa"/>
            <w:tcMar>
              <w:top w:w="15" w:type="dxa"/>
              <w:left w:w="15" w:type="dxa"/>
              <w:right w:w="15" w:type="dxa"/>
            </w:tcMar>
            <w:vAlign w:val="center"/>
          </w:tcPr>
          <w:p w14:paraId="08E0791E">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281.03万元</w:t>
            </w:r>
          </w:p>
        </w:tc>
        <w:tc>
          <w:tcPr>
            <w:tcW w:w="2212" w:type="dxa"/>
            <w:tcMar>
              <w:top w:w="15" w:type="dxa"/>
              <w:left w:w="15" w:type="dxa"/>
              <w:right w:w="15" w:type="dxa"/>
            </w:tcMar>
            <w:vAlign w:val="center"/>
          </w:tcPr>
          <w:p w14:paraId="5A88E456">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其中-财政拨款:</w:t>
            </w:r>
          </w:p>
        </w:tc>
        <w:tc>
          <w:tcPr>
            <w:tcW w:w="2212" w:type="dxa"/>
            <w:tcMar>
              <w:top w:w="15" w:type="dxa"/>
              <w:left w:w="15" w:type="dxa"/>
              <w:right w:w="15" w:type="dxa"/>
            </w:tcMar>
            <w:vAlign w:val="center"/>
          </w:tcPr>
          <w:p w14:paraId="283BB24F">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250.79万元</w:t>
            </w:r>
          </w:p>
        </w:tc>
      </w:tr>
      <w:tr w14:paraId="2A6D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05" w:type="dxa"/>
            <w:vMerge w:val="continue"/>
            <w:tcMar>
              <w:top w:w="15" w:type="dxa"/>
              <w:left w:w="15" w:type="dxa"/>
              <w:right w:w="15" w:type="dxa"/>
            </w:tcMar>
            <w:vAlign w:val="center"/>
          </w:tcPr>
          <w:p w14:paraId="3A4F5B37">
            <w:pPr>
              <w:spacing w:line="400" w:lineRule="exact"/>
              <w:rPr>
                <w:rFonts w:ascii="仿宋_GB2312" w:hAnsi="黑体" w:cs="宋体"/>
                <w:color w:val="000000"/>
                <w:sz w:val="24"/>
              </w:rPr>
            </w:pPr>
          </w:p>
        </w:tc>
        <w:tc>
          <w:tcPr>
            <w:tcW w:w="1977" w:type="dxa"/>
            <w:gridSpan w:val="4"/>
            <w:tcMar>
              <w:top w:w="15" w:type="dxa"/>
              <w:left w:w="15" w:type="dxa"/>
              <w:right w:w="15" w:type="dxa"/>
            </w:tcMar>
            <w:vAlign w:val="center"/>
          </w:tcPr>
          <w:p w14:paraId="42B62BCF">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其它资金:</w:t>
            </w:r>
          </w:p>
        </w:tc>
        <w:tc>
          <w:tcPr>
            <w:tcW w:w="2131" w:type="dxa"/>
            <w:tcMar>
              <w:top w:w="15" w:type="dxa"/>
              <w:left w:w="15" w:type="dxa"/>
              <w:right w:w="15" w:type="dxa"/>
            </w:tcMar>
            <w:vAlign w:val="center"/>
          </w:tcPr>
          <w:p w14:paraId="6B84EE09">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0</w:t>
            </w:r>
          </w:p>
        </w:tc>
        <w:tc>
          <w:tcPr>
            <w:tcW w:w="2212" w:type="dxa"/>
            <w:tcMar>
              <w:top w:w="15" w:type="dxa"/>
              <w:left w:w="15" w:type="dxa"/>
              <w:right w:w="15" w:type="dxa"/>
            </w:tcMar>
            <w:vAlign w:val="center"/>
          </w:tcPr>
          <w:p w14:paraId="4A9994FF">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其它资金:</w:t>
            </w:r>
          </w:p>
        </w:tc>
        <w:tc>
          <w:tcPr>
            <w:tcW w:w="2212" w:type="dxa"/>
            <w:tcMar>
              <w:top w:w="15" w:type="dxa"/>
              <w:left w:w="15" w:type="dxa"/>
              <w:right w:w="15" w:type="dxa"/>
            </w:tcMar>
            <w:vAlign w:val="center"/>
          </w:tcPr>
          <w:p w14:paraId="1E63F3AC">
            <w:pPr>
              <w:spacing w:line="400" w:lineRule="exact"/>
              <w:rPr>
                <w:rFonts w:ascii="仿宋_GB2312" w:hAnsi="黑体" w:cs="宋体"/>
                <w:color w:val="000000"/>
                <w:sz w:val="24"/>
              </w:rPr>
            </w:pPr>
            <w:r>
              <w:rPr>
                <w:rFonts w:hint="eastAsia" w:ascii="仿宋_GB2312" w:hAnsi="黑体" w:cs="宋体"/>
                <w:color w:val="000000"/>
                <w:sz w:val="24"/>
              </w:rPr>
              <w:t>0</w:t>
            </w:r>
          </w:p>
        </w:tc>
      </w:tr>
      <w:tr w14:paraId="1752E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5" w:type="dxa"/>
            <w:vMerge w:val="restart"/>
            <w:tcMar>
              <w:top w:w="15" w:type="dxa"/>
              <w:left w:w="15" w:type="dxa"/>
              <w:right w:w="15" w:type="dxa"/>
            </w:tcMar>
            <w:vAlign w:val="center"/>
          </w:tcPr>
          <w:p w14:paraId="21A8DA78">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年度目标完成情况</w:t>
            </w:r>
          </w:p>
        </w:tc>
        <w:tc>
          <w:tcPr>
            <w:tcW w:w="4108" w:type="dxa"/>
            <w:gridSpan w:val="5"/>
            <w:tcMar>
              <w:top w:w="15" w:type="dxa"/>
              <w:left w:w="15" w:type="dxa"/>
              <w:right w:w="15" w:type="dxa"/>
            </w:tcMar>
            <w:vAlign w:val="center"/>
          </w:tcPr>
          <w:p w14:paraId="729DAD28">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预期目标</w:t>
            </w:r>
          </w:p>
        </w:tc>
        <w:tc>
          <w:tcPr>
            <w:tcW w:w="4424" w:type="dxa"/>
            <w:gridSpan w:val="2"/>
            <w:tcMar>
              <w:top w:w="15" w:type="dxa"/>
              <w:left w:w="15" w:type="dxa"/>
              <w:right w:w="15" w:type="dxa"/>
            </w:tcMar>
            <w:vAlign w:val="center"/>
          </w:tcPr>
          <w:p w14:paraId="73F53796">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实际完成目标</w:t>
            </w:r>
          </w:p>
        </w:tc>
      </w:tr>
      <w:tr w14:paraId="6070B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805" w:type="dxa"/>
            <w:vMerge w:val="continue"/>
            <w:tcBorders>
              <w:bottom w:val="single" w:color="000000" w:sz="4" w:space="0"/>
            </w:tcBorders>
            <w:tcMar>
              <w:top w:w="15" w:type="dxa"/>
              <w:left w:w="15" w:type="dxa"/>
              <w:right w:w="15" w:type="dxa"/>
            </w:tcMar>
            <w:vAlign w:val="center"/>
          </w:tcPr>
          <w:p w14:paraId="46ABC917">
            <w:pPr>
              <w:spacing w:line="400" w:lineRule="exact"/>
              <w:rPr>
                <w:rFonts w:ascii="仿宋_GB2312" w:hAnsi="黑体" w:cs="宋体"/>
                <w:color w:val="000000"/>
                <w:sz w:val="24"/>
              </w:rPr>
            </w:pPr>
          </w:p>
        </w:tc>
        <w:tc>
          <w:tcPr>
            <w:tcW w:w="4108" w:type="dxa"/>
            <w:gridSpan w:val="5"/>
            <w:tcBorders>
              <w:bottom w:val="single" w:color="000000" w:sz="4" w:space="0"/>
            </w:tcBorders>
            <w:tcMar>
              <w:top w:w="15" w:type="dxa"/>
              <w:left w:w="15" w:type="dxa"/>
              <w:right w:w="15" w:type="dxa"/>
            </w:tcMar>
            <w:vAlign w:val="center"/>
          </w:tcPr>
          <w:p w14:paraId="77B509AD">
            <w:pPr>
              <w:spacing w:line="400" w:lineRule="exact"/>
              <w:rPr>
                <w:rFonts w:ascii="仿宋_GB2312" w:hAnsi="黑体" w:cs="宋体"/>
                <w:color w:val="000000"/>
                <w:sz w:val="24"/>
              </w:rPr>
            </w:pPr>
            <w:r>
              <w:rPr>
                <w:rFonts w:hint="eastAsia" w:ascii="仿宋_GB2312" w:hAnsi="黑体"/>
                <w:sz w:val="24"/>
              </w:rPr>
              <w:t>保障管委会各职能部门日常工作正常开展。</w:t>
            </w:r>
          </w:p>
        </w:tc>
        <w:tc>
          <w:tcPr>
            <w:tcW w:w="4424" w:type="dxa"/>
            <w:gridSpan w:val="2"/>
            <w:tcBorders>
              <w:bottom w:val="single" w:color="000000" w:sz="4" w:space="0"/>
            </w:tcBorders>
            <w:tcMar>
              <w:top w:w="15" w:type="dxa"/>
              <w:left w:w="15" w:type="dxa"/>
              <w:right w:w="15" w:type="dxa"/>
            </w:tcMar>
            <w:vAlign w:val="center"/>
          </w:tcPr>
          <w:p w14:paraId="08649B85">
            <w:pPr>
              <w:spacing w:line="400" w:lineRule="exact"/>
              <w:rPr>
                <w:rFonts w:ascii="仿宋_GB2312" w:hAnsi="黑体" w:cs="宋体"/>
                <w:color w:val="000000"/>
                <w:sz w:val="24"/>
              </w:rPr>
            </w:pPr>
            <w:r>
              <w:rPr>
                <w:rFonts w:hint="eastAsia" w:ascii="仿宋_GB2312" w:hAnsi="黑体"/>
                <w:sz w:val="24"/>
              </w:rPr>
              <w:t>保障管委会各职能部门日常工作正常开展。</w:t>
            </w:r>
          </w:p>
        </w:tc>
      </w:tr>
      <w:tr w14:paraId="2E082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805" w:type="dxa"/>
            <w:vMerge w:val="restart"/>
            <w:tcMar>
              <w:top w:w="15" w:type="dxa"/>
              <w:left w:w="15" w:type="dxa"/>
              <w:right w:w="15" w:type="dxa"/>
            </w:tcMar>
            <w:vAlign w:val="center"/>
          </w:tcPr>
          <w:p w14:paraId="5105E025">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绩效指标完成情况</w:t>
            </w:r>
          </w:p>
        </w:tc>
        <w:tc>
          <w:tcPr>
            <w:tcW w:w="790" w:type="dxa"/>
            <w:tcMar>
              <w:top w:w="15" w:type="dxa"/>
              <w:left w:w="15" w:type="dxa"/>
              <w:right w:w="15" w:type="dxa"/>
            </w:tcMar>
            <w:vAlign w:val="center"/>
          </w:tcPr>
          <w:p w14:paraId="13C000E5">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一级指标</w:t>
            </w:r>
          </w:p>
        </w:tc>
        <w:tc>
          <w:tcPr>
            <w:tcW w:w="632" w:type="dxa"/>
            <w:gridSpan w:val="2"/>
            <w:tcMar>
              <w:top w:w="15" w:type="dxa"/>
              <w:left w:w="15" w:type="dxa"/>
              <w:right w:w="15" w:type="dxa"/>
            </w:tcMar>
            <w:vAlign w:val="center"/>
          </w:tcPr>
          <w:p w14:paraId="56E715A4">
            <w:pPr>
              <w:widowControl/>
              <w:spacing w:line="400" w:lineRule="exact"/>
              <w:textAlignment w:val="center"/>
              <w:rPr>
                <w:rFonts w:ascii="仿宋_GB2312" w:hAnsi="黑体" w:cs="宋体"/>
                <w:color w:val="000000"/>
                <w:kern w:val="0"/>
                <w:sz w:val="24"/>
              </w:rPr>
            </w:pPr>
            <w:r>
              <w:rPr>
                <w:rFonts w:hint="eastAsia" w:ascii="仿宋_GB2312" w:hAnsi="黑体" w:cs="宋体"/>
                <w:color w:val="000000"/>
                <w:kern w:val="0"/>
                <w:sz w:val="24"/>
              </w:rPr>
              <w:t>二级</w:t>
            </w:r>
          </w:p>
          <w:p w14:paraId="3DBCC438">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指标</w:t>
            </w:r>
          </w:p>
        </w:tc>
        <w:tc>
          <w:tcPr>
            <w:tcW w:w="2686" w:type="dxa"/>
            <w:gridSpan w:val="2"/>
            <w:tcMar>
              <w:top w:w="15" w:type="dxa"/>
              <w:left w:w="15" w:type="dxa"/>
              <w:right w:w="15" w:type="dxa"/>
            </w:tcMar>
            <w:vAlign w:val="center"/>
          </w:tcPr>
          <w:p w14:paraId="5B2CEB1B">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三级指标</w:t>
            </w:r>
          </w:p>
        </w:tc>
        <w:tc>
          <w:tcPr>
            <w:tcW w:w="2212" w:type="dxa"/>
            <w:tcMar>
              <w:top w:w="15" w:type="dxa"/>
              <w:left w:w="15" w:type="dxa"/>
              <w:right w:w="15" w:type="dxa"/>
            </w:tcMar>
            <w:vAlign w:val="center"/>
          </w:tcPr>
          <w:p w14:paraId="3442F5D4">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预期指标值(包含数字及文字描述)</w:t>
            </w:r>
          </w:p>
        </w:tc>
        <w:tc>
          <w:tcPr>
            <w:tcW w:w="2212" w:type="dxa"/>
            <w:tcMar>
              <w:top w:w="15" w:type="dxa"/>
              <w:left w:w="15" w:type="dxa"/>
              <w:right w:w="15" w:type="dxa"/>
            </w:tcMar>
            <w:vAlign w:val="center"/>
          </w:tcPr>
          <w:p w14:paraId="5FEA88F1">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实际完成指标值(包含数字及文字描述)</w:t>
            </w:r>
          </w:p>
        </w:tc>
      </w:tr>
      <w:tr w14:paraId="439B8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805" w:type="dxa"/>
            <w:vMerge w:val="continue"/>
            <w:tcMar>
              <w:top w:w="15" w:type="dxa"/>
              <w:left w:w="15" w:type="dxa"/>
              <w:right w:w="15" w:type="dxa"/>
            </w:tcMar>
            <w:vAlign w:val="center"/>
          </w:tcPr>
          <w:p w14:paraId="1A18340A">
            <w:pPr>
              <w:widowControl/>
              <w:spacing w:line="400" w:lineRule="exact"/>
              <w:textAlignment w:val="center"/>
              <w:rPr>
                <w:rFonts w:ascii="仿宋_GB2312" w:hAnsi="黑体" w:cs="宋体"/>
                <w:color w:val="000000"/>
                <w:sz w:val="24"/>
              </w:rPr>
            </w:pPr>
          </w:p>
        </w:tc>
        <w:tc>
          <w:tcPr>
            <w:tcW w:w="790" w:type="dxa"/>
            <w:tcMar>
              <w:top w:w="15" w:type="dxa"/>
              <w:left w:w="15" w:type="dxa"/>
              <w:right w:w="15" w:type="dxa"/>
            </w:tcMar>
            <w:vAlign w:val="center"/>
          </w:tcPr>
          <w:p w14:paraId="400BDFD3">
            <w:pPr>
              <w:widowControl/>
              <w:spacing w:line="400" w:lineRule="exact"/>
              <w:textAlignment w:val="center"/>
              <w:rPr>
                <w:rFonts w:ascii="仿宋_GB2312" w:hAnsi="黑体" w:cs="宋体"/>
                <w:color w:val="000000"/>
                <w:kern w:val="0"/>
                <w:sz w:val="24"/>
              </w:rPr>
            </w:pPr>
            <w:r>
              <w:rPr>
                <w:rFonts w:hint="eastAsia" w:ascii="仿宋_GB2312" w:hAnsi="黑体" w:cs="宋体"/>
                <w:color w:val="000000"/>
                <w:kern w:val="0"/>
                <w:sz w:val="24"/>
              </w:rPr>
              <w:t>项目完</w:t>
            </w:r>
          </w:p>
          <w:p w14:paraId="0C5A82E1">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成指标</w:t>
            </w:r>
          </w:p>
        </w:tc>
        <w:tc>
          <w:tcPr>
            <w:tcW w:w="632" w:type="dxa"/>
            <w:gridSpan w:val="2"/>
            <w:tcMar>
              <w:top w:w="15" w:type="dxa"/>
              <w:left w:w="15" w:type="dxa"/>
              <w:right w:w="15" w:type="dxa"/>
            </w:tcMar>
            <w:vAlign w:val="center"/>
          </w:tcPr>
          <w:p w14:paraId="14DD3B21">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数量</w:t>
            </w:r>
          </w:p>
          <w:p w14:paraId="314A44F0">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指标</w:t>
            </w:r>
          </w:p>
        </w:tc>
        <w:tc>
          <w:tcPr>
            <w:tcW w:w="2686" w:type="dxa"/>
            <w:gridSpan w:val="2"/>
            <w:tcMar>
              <w:top w:w="15" w:type="dxa"/>
              <w:left w:w="15" w:type="dxa"/>
              <w:right w:w="15" w:type="dxa"/>
            </w:tcMar>
            <w:vAlign w:val="center"/>
          </w:tcPr>
          <w:p w14:paraId="1E2DFFB0">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办公楼、会议室日常维护</w:t>
            </w:r>
          </w:p>
        </w:tc>
        <w:tc>
          <w:tcPr>
            <w:tcW w:w="2212" w:type="dxa"/>
            <w:tcMar>
              <w:top w:w="15" w:type="dxa"/>
              <w:left w:w="15" w:type="dxa"/>
              <w:right w:w="15" w:type="dxa"/>
            </w:tcMar>
            <w:vAlign w:val="center"/>
          </w:tcPr>
          <w:p w14:paraId="7E65E757">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≥50次</w:t>
            </w:r>
          </w:p>
        </w:tc>
        <w:tc>
          <w:tcPr>
            <w:tcW w:w="2212" w:type="dxa"/>
            <w:tcMar>
              <w:top w:w="15" w:type="dxa"/>
              <w:left w:w="15" w:type="dxa"/>
              <w:right w:w="15" w:type="dxa"/>
            </w:tcMar>
            <w:vAlign w:val="center"/>
          </w:tcPr>
          <w:p w14:paraId="5A0BBCA5">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80次</w:t>
            </w:r>
          </w:p>
        </w:tc>
      </w:tr>
      <w:tr w14:paraId="5F75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805" w:type="dxa"/>
            <w:vMerge w:val="continue"/>
            <w:tcMar>
              <w:top w:w="15" w:type="dxa"/>
              <w:left w:w="15" w:type="dxa"/>
              <w:right w:w="15" w:type="dxa"/>
            </w:tcMar>
            <w:vAlign w:val="center"/>
          </w:tcPr>
          <w:p w14:paraId="24BB804A">
            <w:pPr>
              <w:widowControl/>
              <w:spacing w:line="400" w:lineRule="exact"/>
              <w:textAlignment w:val="center"/>
              <w:rPr>
                <w:rFonts w:ascii="仿宋_GB2312" w:hAnsi="黑体" w:cs="宋体"/>
                <w:color w:val="000000"/>
                <w:sz w:val="24"/>
              </w:rPr>
            </w:pPr>
          </w:p>
        </w:tc>
        <w:tc>
          <w:tcPr>
            <w:tcW w:w="790" w:type="dxa"/>
            <w:tcMar>
              <w:top w:w="15" w:type="dxa"/>
              <w:left w:w="15" w:type="dxa"/>
              <w:right w:w="15" w:type="dxa"/>
            </w:tcMar>
            <w:vAlign w:val="center"/>
          </w:tcPr>
          <w:p w14:paraId="62CBB57F">
            <w:pPr>
              <w:widowControl/>
              <w:spacing w:line="400" w:lineRule="exact"/>
              <w:textAlignment w:val="center"/>
              <w:rPr>
                <w:rFonts w:ascii="仿宋_GB2312" w:hAnsi="黑体" w:cs="宋体"/>
                <w:color w:val="000000"/>
                <w:kern w:val="0"/>
                <w:sz w:val="24"/>
              </w:rPr>
            </w:pPr>
            <w:r>
              <w:rPr>
                <w:rFonts w:hint="eastAsia" w:ascii="仿宋_GB2312" w:hAnsi="黑体" w:cs="宋体"/>
                <w:color w:val="000000"/>
                <w:kern w:val="0"/>
                <w:sz w:val="24"/>
              </w:rPr>
              <w:t>项目完</w:t>
            </w:r>
          </w:p>
          <w:p w14:paraId="5EFC3024">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成指标</w:t>
            </w:r>
          </w:p>
        </w:tc>
        <w:tc>
          <w:tcPr>
            <w:tcW w:w="632" w:type="dxa"/>
            <w:gridSpan w:val="2"/>
            <w:tcMar>
              <w:top w:w="15" w:type="dxa"/>
              <w:left w:w="15" w:type="dxa"/>
              <w:right w:w="15" w:type="dxa"/>
            </w:tcMar>
            <w:vAlign w:val="center"/>
          </w:tcPr>
          <w:p w14:paraId="5CA26096">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数量</w:t>
            </w:r>
          </w:p>
          <w:p w14:paraId="740CC9E5">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指标</w:t>
            </w:r>
          </w:p>
        </w:tc>
        <w:tc>
          <w:tcPr>
            <w:tcW w:w="2686" w:type="dxa"/>
            <w:gridSpan w:val="2"/>
            <w:tcMar>
              <w:top w:w="15" w:type="dxa"/>
              <w:left w:w="15" w:type="dxa"/>
              <w:right w:w="15" w:type="dxa"/>
            </w:tcMar>
            <w:vAlign w:val="center"/>
          </w:tcPr>
          <w:p w14:paraId="0B14A9A9">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办公软件、网络维护</w:t>
            </w:r>
          </w:p>
        </w:tc>
        <w:tc>
          <w:tcPr>
            <w:tcW w:w="2212" w:type="dxa"/>
            <w:tcMar>
              <w:top w:w="15" w:type="dxa"/>
              <w:left w:w="15" w:type="dxa"/>
              <w:right w:w="15" w:type="dxa"/>
            </w:tcMar>
            <w:vAlign w:val="center"/>
          </w:tcPr>
          <w:p w14:paraId="2518C668">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≥300次</w:t>
            </w:r>
          </w:p>
        </w:tc>
        <w:tc>
          <w:tcPr>
            <w:tcW w:w="2212" w:type="dxa"/>
            <w:tcMar>
              <w:top w:w="15" w:type="dxa"/>
              <w:left w:w="15" w:type="dxa"/>
              <w:right w:w="15" w:type="dxa"/>
            </w:tcMar>
            <w:vAlign w:val="center"/>
          </w:tcPr>
          <w:p w14:paraId="0DD8F923">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360次</w:t>
            </w:r>
          </w:p>
        </w:tc>
      </w:tr>
      <w:tr w14:paraId="63665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805" w:type="dxa"/>
            <w:vMerge w:val="continue"/>
            <w:tcMar>
              <w:top w:w="15" w:type="dxa"/>
              <w:left w:w="15" w:type="dxa"/>
              <w:right w:w="15" w:type="dxa"/>
            </w:tcMar>
            <w:vAlign w:val="center"/>
          </w:tcPr>
          <w:p w14:paraId="5E6F6963">
            <w:pPr>
              <w:widowControl/>
              <w:spacing w:line="400" w:lineRule="exact"/>
              <w:textAlignment w:val="center"/>
              <w:rPr>
                <w:rFonts w:ascii="仿宋_GB2312" w:hAnsi="黑体" w:cs="宋体"/>
                <w:color w:val="000000"/>
                <w:sz w:val="24"/>
              </w:rPr>
            </w:pPr>
          </w:p>
        </w:tc>
        <w:tc>
          <w:tcPr>
            <w:tcW w:w="790" w:type="dxa"/>
            <w:tcMar>
              <w:top w:w="15" w:type="dxa"/>
              <w:left w:w="15" w:type="dxa"/>
              <w:right w:w="15" w:type="dxa"/>
            </w:tcMar>
            <w:vAlign w:val="center"/>
          </w:tcPr>
          <w:p w14:paraId="5AFCA9D2">
            <w:pPr>
              <w:widowControl/>
              <w:spacing w:line="400" w:lineRule="exact"/>
              <w:textAlignment w:val="center"/>
              <w:rPr>
                <w:rFonts w:ascii="仿宋_GB2312" w:hAnsi="黑体" w:cs="宋体"/>
                <w:color w:val="000000"/>
                <w:kern w:val="0"/>
                <w:sz w:val="24"/>
              </w:rPr>
            </w:pPr>
            <w:r>
              <w:rPr>
                <w:rFonts w:hint="eastAsia" w:ascii="仿宋_GB2312" w:hAnsi="黑体" w:cs="宋体"/>
                <w:color w:val="000000"/>
                <w:kern w:val="0"/>
                <w:sz w:val="24"/>
              </w:rPr>
              <w:t>项目完</w:t>
            </w:r>
          </w:p>
          <w:p w14:paraId="5DF916BB">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成指标</w:t>
            </w:r>
          </w:p>
        </w:tc>
        <w:tc>
          <w:tcPr>
            <w:tcW w:w="632" w:type="dxa"/>
            <w:gridSpan w:val="2"/>
            <w:tcMar>
              <w:top w:w="15" w:type="dxa"/>
              <w:left w:w="15" w:type="dxa"/>
              <w:right w:w="15" w:type="dxa"/>
            </w:tcMar>
            <w:vAlign w:val="center"/>
          </w:tcPr>
          <w:p w14:paraId="05C6C963">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时效</w:t>
            </w:r>
          </w:p>
          <w:p w14:paraId="47E0F6DF">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指标</w:t>
            </w:r>
          </w:p>
        </w:tc>
        <w:tc>
          <w:tcPr>
            <w:tcW w:w="2686" w:type="dxa"/>
            <w:gridSpan w:val="2"/>
            <w:tcMar>
              <w:top w:w="15" w:type="dxa"/>
              <w:left w:w="15" w:type="dxa"/>
              <w:right w:w="15" w:type="dxa"/>
            </w:tcMar>
            <w:vAlign w:val="center"/>
          </w:tcPr>
          <w:p w14:paraId="130B23B5">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管委会办公楼、食堂水电气费缴纳</w:t>
            </w:r>
          </w:p>
        </w:tc>
        <w:tc>
          <w:tcPr>
            <w:tcW w:w="2212" w:type="dxa"/>
            <w:tcMar>
              <w:top w:w="15" w:type="dxa"/>
              <w:left w:w="15" w:type="dxa"/>
              <w:right w:w="15" w:type="dxa"/>
            </w:tcMar>
            <w:vAlign w:val="center"/>
          </w:tcPr>
          <w:p w14:paraId="66EF946C">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按月支付</w:t>
            </w:r>
          </w:p>
        </w:tc>
        <w:tc>
          <w:tcPr>
            <w:tcW w:w="2212" w:type="dxa"/>
            <w:tcMar>
              <w:top w:w="15" w:type="dxa"/>
              <w:left w:w="15" w:type="dxa"/>
              <w:right w:w="15" w:type="dxa"/>
            </w:tcMar>
            <w:vAlign w:val="center"/>
          </w:tcPr>
          <w:p w14:paraId="5928D99B">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按月支付</w:t>
            </w:r>
          </w:p>
        </w:tc>
      </w:tr>
      <w:tr w14:paraId="22755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805" w:type="dxa"/>
            <w:vMerge w:val="continue"/>
            <w:tcMar>
              <w:top w:w="15" w:type="dxa"/>
              <w:left w:w="15" w:type="dxa"/>
              <w:right w:w="15" w:type="dxa"/>
            </w:tcMar>
            <w:vAlign w:val="center"/>
          </w:tcPr>
          <w:p w14:paraId="40955667">
            <w:pPr>
              <w:widowControl/>
              <w:spacing w:line="400" w:lineRule="exact"/>
              <w:textAlignment w:val="center"/>
              <w:rPr>
                <w:rFonts w:ascii="仿宋_GB2312" w:hAnsi="黑体" w:cs="宋体"/>
                <w:color w:val="000000"/>
                <w:sz w:val="24"/>
              </w:rPr>
            </w:pPr>
          </w:p>
        </w:tc>
        <w:tc>
          <w:tcPr>
            <w:tcW w:w="790" w:type="dxa"/>
            <w:tcMar>
              <w:top w:w="15" w:type="dxa"/>
              <w:left w:w="15" w:type="dxa"/>
              <w:right w:w="15" w:type="dxa"/>
            </w:tcMar>
            <w:vAlign w:val="center"/>
          </w:tcPr>
          <w:p w14:paraId="55FF6B78">
            <w:pPr>
              <w:widowControl/>
              <w:spacing w:line="400" w:lineRule="exact"/>
              <w:textAlignment w:val="center"/>
              <w:rPr>
                <w:rFonts w:ascii="仿宋_GB2312" w:hAnsi="黑体" w:cs="宋体"/>
                <w:color w:val="000000"/>
                <w:kern w:val="0"/>
                <w:sz w:val="24"/>
              </w:rPr>
            </w:pPr>
            <w:r>
              <w:rPr>
                <w:rFonts w:hint="eastAsia" w:ascii="仿宋_GB2312" w:hAnsi="黑体" w:cs="宋体"/>
                <w:color w:val="000000"/>
                <w:kern w:val="0"/>
                <w:sz w:val="24"/>
              </w:rPr>
              <w:t>项目完</w:t>
            </w:r>
          </w:p>
          <w:p w14:paraId="4C1DA14A">
            <w:pPr>
              <w:widowControl/>
              <w:spacing w:line="400" w:lineRule="exact"/>
              <w:textAlignment w:val="center"/>
              <w:rPr>
                <w:rFonts w:ascii="仿宋_GB2312" w:hAnsi="黑体" w:cs="宋体"/>
                <w:color w:val="000000"/>
                <w:kern w:val="0"/>
                <w:sz w:val="24"/>
              </w:rPr>
            </w:pPr>
            <w:r>
              <w:rPr>
                <w:rFonts w:hint="eastAsia" w:ascii="仿宋_GB2312" w:hAnsi="黑体" w:cs="宋体"/>
                <w:color w:val="000000"/>
                <w:kern w:val="0"/>
                <w:sz w:val="24"/>
              </w:rPr>
              <w:t>成指标</w:t>
            </w:r>
          </w:p>
        </w:tc>
        <w:tc>
          <w:tcPr>
            <w:tcW w:w="632" w:type="dxa"/>
            <w:gridSpan w:val="2"/>
            <w:tcMar>
              <w:top w:w="15" w:type="dxa"/>
              <w:left w:w="15" w:type="dxa"/>
              <w:right w:w="15" w:type="dxa"/>
            </w:tcMar>
            <w:vAlign w:val="center"/>
          </w:tcPr>
          <w:p w14:paraId="1A711020">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时效</w:t>
            </w:r>
          </w:p>
          <w:p w14:paraId="14C9007B">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指标</w:t>
            </w:r>
          </w:p>
        </w:tc>
        <w:tc>
          <w:tcPr>
            <w:tcW w:w="2686" w:type="dxa"/>
            <w:gridSpan w:val="2"/>
            <w:tcMar>
              <w:top w:w="15" w:type="dxa"/>
              <w:left w:w="15" w:type="dxa"/>
              <w:right w:w="15" w:type="dxa"/>
            </w:tcMar>
            <w:vAlign w:val="center"/>
          </w:tcPr>
          <w:p w14:paraId="4EE622C4">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网络数据通信费、食堂及劳务派遣人员劳务费缴纳</w:t>
            </w:r>
          </w:p>
        </w:tc>
        <w:tc>
          <w:tcPr>
            <w:tcW w:w="2212" w:type="dxa"/>
            <w:tcMar>
              <w:top w:w="15" w:type="dxa"/>
              <w:left w:w="15" w:type="dxa"/>
              <w:right w:w="15" w:type="dxa"/>
            </w:tcMar>
            <w:vAlign w:val="center"/>
          </w:tcPr>
          <w:p w14:paraId="1A29F50C">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按月支付</w:t>
            </w:r>
          </w:p>
        </w:tc>
        <w:tc>
          <w:tcPr>
            <w:tcW w:w="2212" w:type="dxa"/>
            <w:tcMar>
              <w:top w:w="15" w:type="dxa"/>
              <w:left w:w="15" w:type="dxa"/>
              <w:right w:w="15" w:type="dxa"/>
            </w:tcMar>
            <w:vAlign w:val="center"/>
          </w:tcPr>
          <w:p w14:paraId="41074906">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按月支付</w:t>
            </w:r>
          </w:p>
        </w:tc>
      </w:tr>
      <w:tr w14:paraId="2316B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805" w:type="dxa"/>
            <w:vMerge w:val="continue"/>
            <w:tcMar>
              <w:top w:w="15" w:type="dxa"/>
              <w:left w:w="15" w:type="dxa"/>
              <w:right w:w="15" w:type="dxa"/>
            </w:tcMar>
            <w:vAlign w:val="center"/>
          </w:tcPr>
          <w:p w14:paraId="144E811F">
            <w:pPr>
              <w:widowControl/>
              <w:spacing w:line="400" w:lineRule="exact"/>
              <w:textAlignment w:val="center"/>
              <w:rPr>
                <w:rFonts w:ascii="仿宋_GB2312" w:hAnsi="黑体" w:cs="宋体"/>
                <w:color w:val="000000"/>
                <w:sz w:val="24"/>
              </w:rPr>
            </w:pPr>
          </w:p>
        </w:tc>
        <w:tc>
          <w:tcPr>
            <w:tcW w:w="790" w:type="dxa"/>
            <w:tcBorders>
              <w:bottom w:val="single" w:color="000000" w:sz="4" w:space="0"/>
            </w:tcBorders>
            <w:tcMar>
              <w:top w:w="15" w:type="dxa"/>
              <w:left w:w="15" w:type="dxa"/>
              <w:right w:w="15" w:type="dxa"/>
            </w:tcMar>
            <w:vAlign w:val="center"/>
          </w:tcPr>
          <w:p w14:paraId="2B35F653">
            <w:pPr>
              <w:widowControl/>
              <w:spacing w:line="400" w:lineRule="exact"/>
              <w:textAlignment w:val="center"/>
              <w:rPr>
                <w:rFonts w:ascii="仿宋_GB2312" w:hAnsi="黑体" w:cs="宋体"/>
                <w:color w:val="000000"/>
                <w:kern w:val="0"/>
                <w:sz w:val="24"/>
              </w:rPr>
            </w:pPr>
            <w:r>
              <w:rPr>
                <w:rFonts w:hint="eastAsia" w:ascii="仿宋_GB2312" w:hAnsi="黑体" w:cs="宋体"/>
                <w:color w:val="000000"/>
                <w:kern w:val="0"/>
                <w:sz w:val="24"/>
              </w:rPr>
              <w:t>可持续</w:t>
            </w:r>
          </w:p>
          <w:p w14:paraId="384C97AA">
            <w:pPr>
              <w:widowControl/>
              <w:spacing w:line="400" w:lineRule="exact"/>
              <w:textAlignment w:val="center"/>
              <w:rPr>
                <w:rFonts w:ascii="仿宋_GB2312" w:hAnsi="黑体" w:cs="宋体"/>
                <w:color w:val="000000"/>
                <w:kern w:val="0"/>
                <w:sz w:val="24"/>
              </w:rPr>
            </w:pPr>
            <w:r>
              <w:rPr>
                <w:rFonts w:hint="eastAsia" w:ascii="仿宋_GB2312" w:hAnsi="黑体" w:cs="宋体"/>
                <w:color w:val="000000"/>
                <w:kern w:val="0"/>
                <w:sz w:val="24"/>
              </w:rPr>
              <w:t>影响指</w:t>
            </w:r>
          </w:p>
          <w:p w14:paraId="0EC1BF03">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标</w:t>
            </w:r>
          </w:p>
        </w:tc>
        <w:tc>
          <w:tcPr>
            <w:tcW w:w="632" w:type="dxa"/>
            <w:gridSpan w:val="2"/>
            <w:tcBorders>
              <w:bottom w:val="single" w:color="000000" w:sz="4" w:space="0"/>
            </w:tcBorders>
            <w:tcMar>
              <w:top w:w="15" w:type="dxa"/>
              <w:left w:w="15" w:type="dxa"/>
              <w:right w:w="15" w:type="dxa"/>
            </w:tcMar>
            <w:vAlign w:val="center"/>
          </w:tcPr>
          <w:p w14:paraId="7220CB28">
            <w:pPr>
              <w:widowControl/>
              <w:spacing w:line="320" w:lineRule="exact"/>
              <w:textAlignment w:val="center"/>
              <w:rPr>
                <w:rFonts w:ascii="仿宋_GB2312" w:hAnsi="黑体" w:cs="宋体"/>
                <w:color w:val="000000"/>
                <w:kern w:val="0"/>
                <w:sz w:val="24"/>
              </w:rPr>
            </w:pPr>
            <w:r>
              <w:rPr>
                <w:rFonts w:hint="eastAsia" w:ascii="仿宋_GB2312" w:hAnsi="黑体" w:cs="宋体"/>
                <w:color w:val="000000"/>
                <w:kern w:val="0"/>
                <w:sz w:val="24"/>
              </w:rPr>
              <w:t>可持</w:t>
            </w:r>
          </w:p>
          <w:p w14:paraId="5D85BFCA">
            <w:pPr>
              <w:widowControl/>
              <w:spacing w:line="320" w:lineRule="exact"/>
              <w:textAlignment w:val="center"/>
              <w:rPr>
                <w:rFonts w:ascii="仿宋_GB2312" w:hAnsi="黑体" w:cs="宋体"/>
                <w:color w:val="000000"/>
                <w:kern w:val="0"/>
                <w:sz w:val="24"/>
              </w:rPr>
            </w:pPr>
            <w:r>
              <w:rPr>
                <w:rFonts w:hint="eastAsia" w:ascii="仿宋_GB2312" w:hAnsi="黑体" w:cs="宋体"/>
                <w:color w:val="000000"/>
                <w:kern w:val="0"/>
                <w:sz w:val="24"/>
              </w:rPr>
              <w:t>续影</w:t>
            </w:r>
          </w:p>
          <w:p w14:paraId="1B14D539">
            <w:pPr>
              <w:widowControl/>
              <w:spacing w:line="320" w:lineRule="exact"/>
              <w:textAlignment w:val="center"/>
              <w:rPr>
                <w:rFonts w:ascii="仿宋_GB2312" w:hAnsi="黑体" w:cs="宋体"/>
                <w:color w:val="000000"/>
                <w:kern w:val="0"/>
                <w:sz w:val="24"/>
              </w:rPr>
            </w:pPr>
            <w:r>
              <w:rPr>
                <w:rFonts w:hint="eastAsia" w:ascii="仿宋_GB2312" w:hAnsi="黑体" w:cs="宋体"/>
                <w:color w:val="000000"/>
                <w:kern w:val="0"/>
                <w:sz w:val="24"/>
              </w:rPr>
              <w:t>响指</w:t>
            </w:r>
          </w:p>
          <w:p w14:paraId="7C299C90">
            <w:pPr>
              <w:widowControl/>
              <w:spacing w:line="320" w:lineRule="exact"/>
              <w:textAlignment w:val="center"/>
              <w:rPr>
                <w:rFonts w:ascii="仿宋_GB2312" w:hAnsi="黑体" w:cs="宋体"/>
                <w:color w:val="000000"/>
                <w:kern w:val="0"/>
                <w:sz w:val="24"/>
              </w:rPr>
            </w:pPr>
            <w:r>
              <w:rPr>
                <w:rFonts w:hint="eastAsia" w:ascii="仿宋_GB2312" w:hAnsi="黑体" w:cs="宋体"/>
                <w:color w:val="000000"/>
                <w:kern w:val="0"/>
                <w:sz w:val="24"/>
              </w:rPr>
              <w:t>标</w:t>
            </w:r>
          </w:p>
        </w:tc>
        <w:tc>
          <w:tcPr>
            <w:tcW w:w="2686" w:type="dxa"/>
            <w:gridSpan w:val="2"/>
            <w:tcBorders>
              <w:bottom w:val="single" w:color="000000" w:sz="4" w:space="0"/>
            </w:tcBorders>
            <w:tcMar>
              <w:top w:w="15" w:type="dxa"/>
              <w:left w:w="15" w:type="dxa"/>
              <w:right w:w="15" w:type="dxa"/>
            </w:tcMar>
            <w:vAlign w:val="center"/>
          </w:tcPr>
          <w:p w14:paraId="0D1F06A9">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运行情况</w:t>
            </w:r>
          </w:p>
        </w:tc>
        <w:tc>
          <w:tcPr>
            <w:tcW w:w="2212" w:type="dxa"/>
            <w:tcBorders>
              <w:bottom w:val="single" w:color="000000" w:sz="4" w:space="0"/>
            </w:tcBorders>
            <w:tcMar>
              <w:top w:w="15" w:type="dxa"/>
              <w:left w:w="15" w:type="dxa"/>
              <w:right w:w="15" w:type="dxa"/>
            </w:tcMar>
            <w:vAlign w:val="center"/>
          </w:tcPr>
          <w:p w14:paraId="21A36795">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持续有效运转</w:t>
            </w:r>
          </w:p>
        </w:tc>
        <w:tc>
          <w:tcPr>
            <w:tcW w:w="2212" w:type="dxa"/>
            <w:tcBorders>
              <w:bottom w:val="single" w:color="000000" w:sz="4" w:space="0"/>
            </w:tcBorders>
            <w:tcMar>
              <w:top w:w="15" w:type="dxa"/>
              <w:left w:w="15" w:type="dxa"/>
              <w:right w:w="15" w:type="dxa"/>
            </w:tcMar>
            <w:vAlign w:val="center"/>
          </w:tcPr>
          <w:p w14:paraId="3FD743BD">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良好</w:t>
            </w:r>
          </w:p>
        </w:tc>
      </w:tr>
      <w:tr w14:paraId="6F1D0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805" w:type="dxa"/>
            <w:vMerge w:val="continue"/>
            <w:tcBorders>
              <w:bottom w:val="single" w:color="000000" w:sz="4" w:space="0"/>
            </w:tcBorders>
            <w:tcMar>
              <w:top w:w="15" w:type="dxa"/>
              <w:left w:w="15" w:type="dxa"/>
              <w:right w:w="15" w:type="dxa"/>
            </w:tcMar>
            <w:vAlign w:val="center"/>
          </w:tcPr>
          <w:p w14:paraId="010D4878">
            <w:pPr>
              <w:widowControl/>
              <w:spacing w:line="400" w:lineRule="exact"/>
              <w:textAlignment w:val="center"/>
              <w:rPr>
                <w:rFonts w:ascii="仿宋_GB2312" w:hAnsi="黑体" w:cs="宋体"/>
                <w:color w:val="000000"/>
                <w:sz w:val="24"/>
              </w:rPr>
            </w:pPr>
          </w:p>
        </w:tc>
        <w:tc>
          <w:tcPr>
            <w:tcW w:w="790" w:type="dxa"/>
            <w:tcBorders>
              <w:bottom w:val="single" w:color="000000" w:sz="4" w:space="0"/>
            </w:tcBorders>
            <w:tcMar>
              <w:top w:w="15" w:type="dxa"/>
              <w:left w:w="15" w:type="dxa"/>
              <w:right w:w="15" w:type="dxa"/>
            </w:tcMar>
            <w:vAlign w:val="center"/>
          </w:tcPr>
          <w:p w14:paraId="41EE74F4">
            <w:pPr>
              <w:widowControl/>
              <w:spacing w:line="400" w:lineRule="exact"/>
              <w:textAlignment w:val="center"/>
              <w:rPr>
                <w:rFonts w:ascii="仿宋_GB2312" w:hAnsi="黑体" w:cs="宋体"/>
                <w:color w:val="000000"/>
                <w:kern w:val="0"/>
                <w:sz w:val="24"/>
              </w:rPr>
            </w:pPr>
            <w:r>
              <w:rPr>
                <w:rFonts w:hint="eastAsia" w:ascii="仿宋_GB2312" w:hAnsi="黑体" w:cs="宋体"/>
                <w:color w:val="000000"/>
                <w:kern w:val="0"/>
                <w:sz w:val="24"/>
              </w:rPr>
              <w:t>满意度</w:t>
            </w:r>
          </w:p>
          <w:p w14:paraId="3BB34C03">
            <w:pPr>
              <w:widowControl/>
              <w:spacing w:line="400" w:lineRule="exact"/>
              <w:textAlignment w:val="center"/>
              <w:rPr>
                <w:rFonts w:ascii="仿宋_GB2312" w:hAnsi="黑体" w:cs="宋体"/>
                <w:color w:val="000000"/>
                <w:sz w:val="24"/>
              </w:rPr>
            </w:pPr>
            <w:r>
              <w:rPr>
                <w:rFonts w:hint="eastAsia" w:ascii="仿宋_GB2312" w:hAnsi="黑体" w:cs="宋体"/>
                <w:color w:val="000000"/>
                <w:kern w:val="0"/>
                <w:sz w:val="24"/>
              </w:rPr>
              <w:t>指标</w:t>
            </w:r>
          </w:p>
        </w:tc>
        <w:tc>
          <w:tcPr>
            <w:tcW w:w="632" w:type="dxa"/>
            <w:gridSpan w:val="2"/>
            <w:tcBorders>
              <w:bottom w:val="single" w:color="000000" w:sz="4" w:space="0"/>
            </w:tcBorders>
            <w:tcMar>
              <w:top w:w="15" w:type="dxa"/>
              <w:left w:w="15" w:type="dxa"/>
              <w:right w:w="15" w:type="dxa"/>
            </w:tcMar>
            <w:vAlign w:val="center"/>
          </w:tcPr>
          <w:p w14:paraId="65B1FC0F">
            <w:pPr>
              <w:widowControl/>
              <w:spacing w:line="320" w:lineRule="exact"/>
              <w:textAlignment w:val="center"/>
              <w:rPr>
                <w:rFonts w:ascii="仿宋_GB2312" w:hAnsi="黑体" w:cs="宋体"/>
                <w:color w:val="000000"/>
                <w:kern w:val="0"/>
                <w:sz w:val="24"/>
              </w:rPr>
            </w:pPr>
            <w:r>
              <w:rPr>
                <w:rFonts w:hint="eastAsia" w:ascii="仿宋_GB2312" w:hAnsi="黑体" w:cs="宋体"/>
                <w:color w:val="000000"/>
                <w:kern w:val="0"/>
                <w:sz w:val="24"/>
              </w:rPr>
              <w:t>满意</w:t>
            </w:r>
          </w:p>
          <w:p w14:paraId="6DAC45EA">
            <w:pPr>
              <w:widowControl/>
              <w:spacing w:line="320" w:lineRule="exact"/>
              <w:textAlignment w:val="center"/>
              <w:rPr>
                <w:rFonts w:ascii="仿宋_GB2312" w:hAnsi="黑体" w:cs="宋体"/>
                <w:color w:val="000000"/>
                <w:kern w:val="0"/>
                <w:sz w:val="24"/>
              </w:rPr>
            </w:pPr>
            <w:r>
              <w:rPr>
                <w:rFonts w:hint="eastAsia" w:ascii="仿宋_GB2312" w:hAnsi="黑体" w:cs="宋体"/>
                <w:color w:val="000000"/>
                <w:kern w:val="0"/>
                <w:sz w:val="24"/>
              </w:rPr>
              <w:t>度指</w:t>
            </w:r>
          </w:p>
          <w:p w14:paraId="47B75FF6">
            <w:pPr>
              <w:widowControl/>
              <w:spacing w:line="320" w:lineRule="exact"/>
              <w:textAlignment w:val="center"/>
              <w:rPr>
                <w:rFonts w:ascii="仿宋_GB2312" w:hAnsi="黑体" w:cs="宋体"/>
                <w:color w:val="000000"/>
                <w:kern w:val="0"/>
                <w:sz w:val="24"/>
              </w:rPr>
            </w:pPr>
            <w:r>
              <w:rPr>
                <w:rFonts w:hint="eastAsia" w:ascii="仿宋_GB2312" w:hAnsi="黑体" w:cs="宋体"/>
                <w:color w:val="000000"/>
                <w:kern w:val="0"/>
                <w:sz w:val="24"/>
              </w:rPr>
              <w:t>标</w:t>
            </w:r>
          </w:p>
        </w:tc>
        <w:tc>
          <w:tcPr>
            <w:tcW w:w="2686" w:type="dxa"/>
            <w:gridSpan w:val="2"/>
            <w:tcBorders>
              <w:bottom w:val="single" w:color="000000" w:sz="4" w:space="0"/>
            </w:tcBorders>
            <w:tcMar>
              <w:top w:w="15" w:type="dxa"/>
              <w:left w:w="15" w:type="dxa"/>
              <w:right w:w="15" w:type="dxa"/>
            </w:tcMar>
            <w:vAlign w:val="center"/>
          </w:tcPr>
          <w:p w14:paraId="44040095">
            <w:pPr>
              <w:widowControl/>
              <w:spacing w:line="400" w:lineRule="exact"/>
              <w:textAlignment w:val="center"/>
              <w:rPr>
                <w:rFonts w:ascii="仿宋_GB2312" w:hAnsi="黑体" w:cs="宋体"/>
                <w:color w:val="000000"/>
                <w:sz w:val="24"/>
              </w:rPr>
            </w:pPr>
            <w:r>
              <w:rPr>
                <w:rFonts w:hint="eastAsia" w:ascii="仿宋_GB2312" w:hAnsi="黑体" w:cs="宋体"/>
                <w:color w:val="000000"/>
                <w:sz w:val="24"/>
              </w:rPr>
              <w:t>各职能部门满意度</w:t>
            </w:r>
          </w:p>
        </w:tc>
        <w:tc>
          <w:tcPr>
            <w:tcW w:w="2212" w:type="dxa"/>
            <w:tcBorders>
              <w:bottom w:val="single" w:color="000000" w:sz="4" w:space="0"/>
            </w:tcBorders>
            <w:tcMar>
              <w:top w:w="15" w:type="dxa"/>
              <w:left w:w="15" w:type="dxa"/>
              <w:right w:w="15" w:type="dxa"/>
            </w:tcMar>
            <w:vAlign w:val="center"/>
          </w:tcPr>
          <w:p w14:paraId="7837B057">
            <w:pPr>
              <w:spacing w:line="400" w:lineRule="exact"/>
              <w:rPr>
                <w:rFonts w:ascii="仿宋_GB2312" w:hAnsi="黑体" w:cs="宋体"/>
                <w:color w:val="000000"/>
                <w:sz w:val="24"/>
              </w:rPr>
            </w:pPr>
            <w:r>
              <w:rPr>
                <w:rFonts w:hint="eastAsia" w:ascii="仿宋_GB2312" w:hAnsi="黑体"/>
                <w:sz w:val="24"/>
              </w:rPr>
              <w:t>≥90%</w:t>
            </w:r>
          </w:p>
        </w:tc>
        <w:tc>
          <w:tcPr>
            <w:tcW w:w="2212" w:type="dxa"/>
            <w:tcBorders>
              <w:bottom w:val="single" w:color="000000" w:sz="4" w:space="0"/>
            </w:tcBorders>
            <w:tcMar>
              <w:top w:w="15" w:type="dxa"/>
              <w:left w:w="15" w:type="dxa"/>
              <w:right w:w="15" w:type="dxa"/>
            </w:tcMar>
            <w:vAlign w:val="center"/>
          </w:tcPr>
          <w:p w14:paraId="6E11E68A">
            <w:pPr>
              <w:spacing w:line="400" w:lineRule="exact"/>
              <w:ind w:firstLine="1062" w:firstLineChars="450"/>
              <w:rPr>
                <w:rFonts w:ascii="仿宋_GB2312" w:hAnsi="黑体" w:cs="宋体"/>
                <w:color w:val="000000"/>
                <w:sz w:val="24"/>
              </w:rPr>
            </w:pPr>
            <w:r>
              <w:rPr>
                <w:rFonts w:hint="eastAsia" w:ascii="仿宋_GB2312" w:hAnsi="黑体"/>
                <w:sz w:val="24"/>
              </w:rPr>
              <w:t>95%</w:t>
            </w:r>
          </w:p>
        </w:tc>
      </w:tr>
      <w:tr w14:paraId="7294F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 w:hRule="atLeast"/>
          <w:jc w:val="center"/>
        </w:trPr>
        <w:tc>
          <w:tcPr>
            <w:tcW w:w="805" w:type="dxa"/>
            <w:tcBorders>
              <w:top w:val="single" w:color="000000" w:sz="4" w:space="0"/>
              <w:left w:val="nil"/>
              <w:bottom w:val="nil"/>
              <w:right w:val="nil"/>
            </w:tcBorders>
            <w:tcMar>
              <w:top w:w="15" w:type="dxa"/>
              <w:left w:w="15" w:type="dxa"/>
              <w:right w:w="15" w:type="dxa"/>
            </w:tcMar>
            <w:vAlign w:val="center"/>
          </w:tcPr>
          <w:p w14:paraId="0A63B30C">
            <w:pPr>
              <w:widowControl/>
              <w:spacing w:line="400" w:lineRule="exact"/>
              <w:textAlignment w:val="center"/>
              <w:rPr>
                <w:rFonts w:ascii="仿宋_GB2312" w:hAnsi="黑体" w:cs="宋体"/>
                <w:color w:val="000000"/>
                <w:sz w:val="24"/>
              </w:rPr>
            </w:pPr>
          </w:p>
        </w:tc>
        <w:tc>
          <w:tcPr>
            <w:tcW w:w="790" w:type="dxa"/>
            <w:tcBorders>
              <w:top w:val="single" w:color="000000" w:sz="4" w:space="0"/>
              <w:left w:val="nil"/>
              <w:bottom w:val="nil"/>
              <w:right w:val="nil"/>
            </w:tcBorders>
            <w:tcMar>
              <w:top w:w="15" w:type="dxa"/>
              <w:left w:w="15" w:type="dxa"/>
              <w:right w:w="15" w:type="dxa"/>
            </w:tcMar>
            <w:vAlign w:val="center"/>
          </w:tcPr>
          <w:p w14:paraId="1F2AE57A">
            <w:pPr>
              <w:widowControl/>
              <w:spacing w:line="400" w:lineRule="exact"/>
              <w:textAlignment w:val="center"/>
              <w:rPr>
                <w:rFonts w:ascii="仿宋_GB2312" w:hAnsi="黑体" w:cs="宋体"/>
                <w:color w:val="000000"/>
                <w:kern w:val="0"/>
                <w:sz w:val="24"/>
              </w:rPr>
            </w:pPr>
          </w:p>
        </w:tc>
        <w:tc>
          <w:tcPr>
            <w:tcW w:w="632" w:type="dxa"/>
            <w:gridSpan w:val="2"/>
            <w:tcBorders>
              <w:top w:val="single" w:color="000000" w:sz="4" w:space="0"/>
              <w:left w:val="nil"/>
              <w:bottom w:val="nil"/>
              <w:right w:val="nil"/>
            </w:tcBorders>
            <w:tcMar>
              <w:top w:w="15" w:type="dxa"/>
              <w:left w:w="15" w:type="dxa"/>
              <w:right w:w="15" w:type="dxa"/>
            </w:tcMar>
            <w:vAlign w:val="center"/>
          </w:tcPr>
          <w:p w14:paraId="61F6C42E">
            <w:pPr>
              <w:widowControl/>
              <w:spacing w:line="320" w:lineRule="exact"/>
              <w:textAlignment w:val="center"/>
              <w:rPr>
                <w:rFonts w:ascii="仿宋_GB2312" w:hAnsi="黑体" w:cs="宋体"/>
                <w:color w:val="000000"/>
                <w:kern w:val="0"/>
                <w:sz w:val="24"/>
              </w:rPr>
            </w:pPr>
          </w:p>
        </w:tc>
        <w:tc>
          <w:tcPr>
            <w:tcW w:w="2686" w:type="dxa"/>
            <w:gridSpan w:val="2"/>
            <w:tcBorders>
              <w:top w:val="single" w:color="000000" w:sz="4" w:space="0"/>
              <w:left w:val="nil"/>
              <w:bottom w:val="nil"/>
              <w:right w:val="nil"/>
            </w:tcBorders>
            <w:tcMar>
              <w:top w:w="15" w:type="dxa"/>
              <w:left w:w="15" w:type="dxa"/>
              <w:right w:w="15" w:type="dxa"/>
            </w:tcMar>
            <w:vAlign w:val="center"/>
          </w:tcPr>
          <w:p w14:paraId="1B2716BD">
            <w:pPr>
              <w:widowControl/>
              <w:spacing w:line="400" w:lineRule="exact"/>
              <w:textAlignment w:val="center"/>
              <w:rPr>
                <w:rFonts w:ascii="仿宋_GB2312" w:hAnsi="黑体" w:cs="宋体"/>
                <w:color w:val="000000"/>
                <w:sz w:val="24"/>
              </w:rPr>
            </w:pPr>
          </w:p>
        </w:tc>
        <w:tc>
          <w:tcPr>
            <w:tcW w:w="2212" w:type="dxa"/>
            <w:tcBorders>
              <w:top w:val="single" w:color="000000" w:sz="4" w:space="0"/>
              <w:left w:val="nil"/>
              <w:bottom w:val="nil"/>
              <w:right w:val="nil"/>
            </w:tcBorders>
            <w:tcMar>
              <w:top w:w="15" w:type="dxa"/>
              <w:left w:w="15" w:type="dxa"/>
              <w:right w:w="15" w:type="dxa"/>
            </w:tcMar>
            <w:vAlign w:val="center"/>
          </w:tcPr>
          <w:p w14:paraId="61C6649E">
            <w:pPr>
              <w:spacing w:line="400" w:lineRule="exact"/>
              <w:rPr>
                <w:rFonts w:ascii="仿宋_GB2312" w:hAnsi="黑体"/>
                <w:sz w:val="24"/>
              </w:rPr>
            </w:pPr>
          </w:p>
        </w:tc>
        <w:tc>
          <w:tcPr>
            <w:tcW w:w="2212" w:type="dxa"/>
            <w:tcBorders>
              <w:top w:val="single" w:color="000000" w:sz="4" w:space="0"/>
              <w:left w:val="nil"/>
              <w:bottom w:val="nil"/>
              <w:right w:val="nil"/>
            </w:tcBorders>
            <w:tcMar>
              <w:top w:w="15" w:type="dxa"/>
              <w:left w:w="15" w:type="dxa"/>
              <w:right w:w="15" w:type="dxa"/>
            </w:tcMar>
            <w:vAlign w:val="center"/>
          </w:tcPr>
          <w:p w14:paraId="49451C0E">
            <w:pPr>
              <w:spacing w:line="400" w:lineRule="exact"/>
              <w:ind w:firstLine="1062" w:firstLineChars="450"/>
              <w:rPr>
                <w:rFonts w:ascii="仿宋_GB2312" w:hAnsi="黑体"/>
                <w:sz w:val="24"/>
              </w:rPr>
            </w:pPr>
          </w:p>
        </w:tc>
      </w:tr>
      <w:tr w14:paraId="27199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9337" w:type="dxa"/>
            <w:gridSpan w:val="8"/>
            <w:tcBorders>
              <w:top w:val="nil"/>
              <w:left w:val="nil"/>
              <w:bottom w:val="single" w:color="000000" w:sz="4" w:space="0"/>
              <w:right w:val="nil"/>
            </w:tcBorders>
            <w:tcMar>
              <w:top w:w="15" w:type="dxa"/>
              <w:left w:w="15" w:type="dxa"/>
              <w:bottom w:w="0" w:type="dxa"/>
              <w:right w:w="15" w:type="dxa"/>
            </w:tcMar>
            <w:vAlign w:val="center"/>
          </w:tcPr>
          <w:p w14:paraId="2E9C1969">
            <w:pPr>
              <w:widowControl/>
              <w:spacing w:line="400" w:lineRule="exact"/>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1092C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782" w:type="dxa"/>
            <w:gridSpan w:val="5"/>
            <w:tcBorders>
              <w:top w:val="single" w:color="000000" w:sz="4" w:space="0"/>
            </w:tcBorders>
            <w:tcMar>
              <w:top w:w="15" w:type="dxa"/>
              <w:left w:w="15" w:type="dxa"/>
              <w:bottom w:w="0" w:type="dxa"/>
              <w:right w:w="15" w:type="dxa"/>
            </w:tcMar>
            <w:vAlign w:val="center"/>
          </w:tcPr>
          <w:p w14:paraId="481636D5">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项目名称</w:t>
            </w:r>
          </w:p>
        </w:tc>
        <w:tc>
          <w:tcPr>
            <w:tcW w:w="6555" w:type="dxa"/>
            <w:gridSpan w:val="3"/>
            <w:tcBorders>
              <w:top w:val="single" w:color="000000" w:sz="4" w:space="0"/>
            </w:tcBorders>
            <w:tcMar>
              <w:top w:w="15" w:type="dxa"/>
              <w:left w:w="15" w:type="dxa"/>
              <w:bottom w:w="0" w:type="dxa"/>
              <w:right w:w="15" w:type="dxa"/>
            </w:tcMar>
            <w:vAlign w:val="center"/>
          </w:tcPr>
          <w:p w14:paraId="376EF22F">
            <w:pPr>
              <w:widowControl/>
              <w:spacing w:line="400" w:lineRule="exact"/>
              <w:textAlignment w:val="center"/>
              <w:rPr>
                <w:rFonts w:ascii="宋体" w:hAnsi="宋体" w:cs="宋体"/>
                <w:color w:val="000000"/>
                <w:sz w:val="24"/>
              </w:rPr>
            </w:pPr>
            <w:r>
              <w:rPr>
                <w:rFonts w:hint="eastAsia" w:ascii="宋体" w:hAnsi="宋体" w:cs="宋体"/>
                <w:color w:val="000000"/>
                <w:sz w:val="24"/>
              </w:rPr>
              <w:t>全区党报党刊征订经费</w:t>
            </w:r>
          </w:p>
        </w:tc>
      </w:tr>
      <w:tr w14:paraId="00610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782" w:type="dxa"/>
            <w:gridSpan w:val="5"/>
            <w:tcMar>
              <w:top w:w="15" w:type="dxa"/>
              <w:left w:w="15" w:type="dxa"/>
              <w:bottom w:w="0" w:type="dxa"/>
              <w:right w:w="15" w:type="dxa"/>
            </w:tcMar>
            <w:vAlign w:val="center"/>
          </w:tcPr>
          <w:p w14:paraId="507FADF8">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预算单位</w:t>
            </w:r>
          </w:p>
        </w:tc>
        <w:tc>
          <w:tcPr>
            <w:tcW w:w="6555" w:type="dxa"/>
            <w:gridSpan w:val="3"/>
            <w:tcMar>
              <w:top w:w="15" w:type="dxa"/>
              <w:left w:w="15" w:type="dxa"/>
              <w:bottom w:w="0" w:type="dxa"/>
              <w:right w:w="15" w:type="dxa"/>
            </w:tcMar>
            <w:vAlign w:val="center"/>
          </w:tcPr>
          <w:p w14:paraId="13A56337">
            <w:pPr>
              <w:widowControl/>
              <w:spacing w:line="400" w:lineRule="exact"/>
              <w:textAlignment w:val="center"/>
              <w:rPr>
                <w:rFonts w:ascii="宋体" w:hAnsi="宋体" w:cs="宋体"/>
                <w:color w:val="000000"/>
                <w:sz w:val="24"/>
              </w:rPr>
            </w:pPr>
            <w:r>
              <w:rPr>
                <w:rFonts w:hint="eastAsia" w:ascii="宋体" w:hAnsi="宋体" w:cs="宋体"/>
                <w:color w:val="000000"/>
                <w:sz w:val="24"/>
              </w:rPr>
              <w:t>党工委办公室</w:t>
            </w:r>
          </w:p>
        </w:tc>
      </w:tr>
      <w:tr w14:paraId="06CB0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restart"/>
            <w:tcMar>
              <w:top w:w="15" w:type="dxa"/>
              <w:left w:w="15" w:type="dxa"/>
              <w:bottom w:w="0" w:type="dxa"/>
              <w:right w:w="15" w:type="dxa"/>
            </w:tcMar>
            <w:vAlign w:val="center"/>
          </w:tcPr>
          <w:p w14:paraId="3631CA5F">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77" w:type="dxa"/>
            <w:gridSpan w:val="4"/>
            <w:tcMar>
              <w:top w:w="15" w:type="dxa"/>
              <w:left w:w="15" w:type="dxa"/>
              <w:bottom w:w="0" w:type="dxa"/>
              <w:right w:w="15" w:type="dxa"/>
            </w:tcMar>
            <w:vAlign w:val="center"/>
          </w:tcPr>
          <w:p w14:paraId="2575C96F">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预算数:</w:t>
            </w:r>
          </w:p>
        </w:tc>
        <w:tc>
          <w:tcPr>
            <w:tcW w:w="2131" w:type="dxa"/>
            <w:tcMar>
              <w:top w:w="15" w:type="dxa"/>
              <w:left w:w="15" w:type="dxa"/>
              <w:bottom w:w="0" w:type="dxa"/>
              <w:right w:w="15" w:type="dxa"/>
            </w:tcMar>
            <w:vAlign w:val="center"/>
          </w:tcPr>
          <w:p w14:paraId="2E35ABA6">
            <w:pPr>
              <w:widowControl/>
              <w:spacing w:line="400" w:lineRule="exact"/>
              <w:textAlignment w:val="center"/>
              <w:rPr>
                <w:rFonts w:ascii="宋体" w:hAnsi="宋体" w:cs="宋体"/>
                <w:color w:val="000000"/>
                <w:sz w:val="24"/>
              </w:rPr>
            </w:pPr>
            <w:r>
              <w:rPr>
                <w:rFonts w:hint="eastAsia" w:ascii="宋体" w:hAnsi="宋体" w:cs="宋体"/>
                <w:color w:val="000000"/>
                <w:sz w:val="24"/>
              </w:rPr>
              <w:t>35万元</w:t>
            </w:r>
          </w:p>
        </w:tc>
        <w:tc>
          <w:tcPr>
            <w:tcW w:w="2212" w:type="dxa"/>
            <w:tcMar>
              <w:top w:w="15" w:type="dxa"/>
              <w:left w:w="15" w:type="dxa"/>
              <w:bottom w:w="0" w:type="dxa"/>
              <w:right w:w="15" w:type="dxa"/>
            </w:tcMar>
            <w:vAlign w:val="center"/>
          </w:tcPr>
          <w:p w14:paraId="63577C4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执行数:</w:t>
            </w:r>
          </w:p>
        </w:tc>
        <w:tc>
          <w:tcPr>
            <w:tcW w:w="2212" w:type="dxa"/>
            <w:tcMar>
              <w:top w:w="15" w:type="dxa"/>
              <w:left w:w="15" w:type="dxa"/>
              <w:bottom w:w="0" w:type="dxa"/>
              <w:right w:w="15" w:type="dxa"/>
            </w:tcMar>
            <w:vAlign w:val="center"/>
          </w:tcPr>
          <w:p w14:paraId="36CAB9B7">
            <w:pPr>
              <w:widowControl/>
              <w:spacing w:line="400" w:lineRule="exact"/>
              <w:textAlignment w:val="center"/>
              <w:rPr>
                <w:rFonts w:ascii="宋体" w:hAnsi="宋体" w:cs="宋体"/>
                <w:color w:val="000000"/>
                <w:sz w:val="24"/>
              </w:rPr>
            </w:pPr>
            <w:r>
              <w:rPr>
                <w:rFonts w:hint="eastAsia" w:ascii="宋体" w:hAnsi="宋体" w:cs="宋体"/>
                <w:color w:val="000000"/>
                <w:sz w:val="24"/>
              </w:rPr>
              <w:t>30.35万元</w:t>
            </w:r>
          </w:p>
        </w:tc>
      </w:tr>
      <w:tr w14:paraId="425C4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continue"/>
            <w:vAlign w:val="center"/>
          </w:tcPr>
          <w:p w14:paraId="7D9C8C61">
            <w:pPr>
              <w:widowControl/>
              <w:spacing w:line="400" w:lineRule="exact"/>
              <w:rPr>
                <w:rFonts w:ascii="宋体" w:hAnsi="宋体" w:cs="宋体"/>
                <w:color w:val="000000"/>
                <w:sz w:val="24"/>
              </w:rPr>
            </w:pPr>
          </w:p>
        </w:tc>
        <w:tc>
          <w:tcPr>
            <w:tcW w:w="1977" w:type="dxa"/>
            <w:gridSpan w:val="4"/>
            <w:tcMar>
              <w:top w:w="15" w:type="dxa"/>
              <w:left w:w="15" w:type="dxa"/>
              <w:bottom w:w="0" w:type="dxa"/>
              <w:right w:w="15" w:type="dxa"/>
            </w:tcMar>
            <w:vAlign w:val="center"/>
          </w:tcPr>
          <w:p w14:paraId="6DEC68A7">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其中-财政拨款:</w:t>
            </w:r>
          </w:p>
        </w:tc>
        <w:tc>
          <w:tcPr>
            <w:tcW w:w="2131" w:type="dxa"/>
            <w:tcMar>
              <w:top w:w="15" w:type="dxa"/>
              <w:left w:w="15" w:type="dxa"/>
              <w:bottom w:w="0" w:type="dxa"/>
              <w:right w:w="15" w:type="dxa"/>
            </w:tcMar>
            <w:vAlign w:val="center"/>
          </w:tcPr>
          <w:p w14:paraId="07A0FB88">
            <w:pPr>
              <w:widowControl/>
              <w:spacing w:line="400" w:lineRule="exact"/>
              <w:ind w:firstLine="826" w:firstLineChars="350"/>
              <w:textAlignment w:val="center"/>
              <w:rPr>
                <w:rFonts w:ascii="宋体" w:hAnsi="宋体" w:cs="宋体"/>
                <w:color w:val="000000"/>
                <w:sz w:val="24"/>
              </w:rPr>
            </w:pPr>
            <w:r>
              <w:rPr>
                <w:rFonts w:hint="eastAsia" w:ascii="宋体" w:hAnsi="宋体" w:cs="宋体"/>
                <w:color w:val="000000"/>
                <w:sz w:val="24"/>
              </w:rPr>
              <w:t>35万元</w:t>
            </w:r>
          </w:p>
        </w:tc>
        <w:tc>
          <w:tcPr>
            <w:tcW w:w="2212" w:type="dxa"/>
            <w:tcMar>
              <w:top w:w="15" w:type="dxa"/>
              <w:left w:w="15" w:type="dxa"/>
              <w:bottom w:w="0" w:type="dxa"/>
              <w:right w:w="15" w:type="dxa"/>
            </w:tcMar>
            <w:vAlign w:val="center"/>
          </w:tcPr>
          <w:p w14:paraId="7DE64F9D">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其中-财政拨款:</w:t>
            </w:r>
          </w:p>
        </w:tc>
        <w:tc>
          <w:tcPr>
            <w:tcW w:w="2212" w:type="dxa"/>
            <w:tcMar>
              <w:top w:w="15" w:type="dxa"/>
              <w:left w:w="15" w:type="dxa"/>
              <w:bottom w:w="0" w:type="dxa"/>
              <w:right w:w="15" w:type="dxa"/>
            </w:tcMar>
            <w:vAlign w:val="center"/>
          </w:tcPr>
          <w:p w14:paraId="2A021B9A">
            <w:pPr>
              <w:widowControl/>
              <w:spacing w:line="400" w:lineRule="exact"/>
              <w:textAlignment w:val="center"/>
              <w:rPr>
                <w:rFonts w:ascii="宋体" w:hAnsi="宋体" w:cs="宋体"/>
                <w:color w:val="000000"/>
                <w:sz w:val="24"/>
              </w:rPr>
            </w:pPr>
            <w:r>
              <w:rPr>
                <w:rFonts w:hint="eastAsia" w:ascii="宋体" w:hAnsi="宋体" w:cs="宋体"/>
                <w:color w:val="000000"/>
                <w:sz w:val="24"/>
              </w:rPr>
              <w:t>30.35万元</w:t>
            </w:r>
          </w:p>
        </w:tc>
      </w:tr>
      <w:tr w14:paraId="399A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805" w:type="dxa"/>
            <w:vMerge w:val="continue"/>
            <w:vAlign w:val="center"/>
          </w:tcPr>
          <w:p w14:paraId="583A58BB">
            <w:pPr>
              <w:widowControl/>
              <w:spacing w:line="400" w:lineRule="exact"/>
              <w:rPr>
                <w:rFonts w:ascii="宋体" w:hAnsi="宋体" w:cs="宋体"/>
                <w:color w:val="000000"/>
                <w:sz w:val="24"/>
              </w:rPr>
            </w:pPr>
          </w:p>
        </w:tc>
        <w:tc>
          <w:tcPr>
            <w:tcW w:w="1977" w:type="dxa"/>
            <w:gridSpan w:val="4"/>
            <w:tcMar>
              <w:top w:w="15" w:type="dxa"/>
              <w:left w:w="15" w:type="dxa"/>
              <w:bottom w:w="0" w:type="dxa"/>
              <w:right w:w="15" w:type="dxa"/>
            </w:tcMar>
            <w:vAlign w:val="center"/>
          </w:tcPr>
          <w:p w14:paraId="45EB522F">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其它资金:</w:t>
            </w:r>
          </w:p>
        </w:tc>
        <w:tc>
          <w:tcPr>
            <w:tcW w:w="2131" w:type="dxa"/>
            <w:tcMar>
              <w:top w:w="15" w:type="dxa"/>
              <w:left w:w="15" w:type="dxa"/>
              <w:bottom w:w="0" w:type="dxa"/>
              <w:right w:w="15" w:type="dxa"/>
            </w:tcMar>
            <w:vAlign w:val="center"/>
          </w:tcPr>
          <w:p w14:paraId="520F13BE">
            <w:pPr>
              <w:widowControl/>
              <w:spacing w:line="400" w:lineRule="exact"/>
              <w:textAlignment w:val="center"/>
              <w:rPr>
                <w:rFonts w:ascii="宋体" w:hAnsi="宋体" w:cs="宋体"/>
                <w:color w:val="000000"/>
                <w:sz w:val="24"/>
              </w:rPr>
            </w:pPr>
            <w:r>
              <w:rPr>
                <w:rFonts w:hint="eastAsia" w:ascii="宋体" w:hAnsi="宋体" w:cs="宋体"/>
                <w:color w:val="000000"/>
                <w:sz w:val="24"/>
              </w:rPr>
              <w:t>0</w:t>
            </w:r>
          </w:p>
        </w:tc>
        <w:tc>
          <w:tcPr>
            <w:tcW w:w="2212" w:type="dxa"/>
            <w:tcMar>
              <w:top w:w="15" w:type="dxa"/>
              <w:left w:w="15" w:type="dxa"/>
              <w:bottom w:w="0" w:type="dxa"/>
              <w:right w:w="15" w:type="dxa"/>
            </w:tcMar>
            <w:vAlign w:val="center"/>
          </w:tcPr>
          <w:p w14:paraId="2310E44B">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其它资金:</w:t>
            </w:r>
          </w:p>
        </w:tc>
        <w:tc>
          <w:tcPr>
            <w:tcW w:w="2212" w:type="dxa"/>
            <w:tcMar>
              <w:top w:w="15" w:type="dxa"/>
              <w:left w:w="15" w:type="dxa"/>
              <w:bottom w:w="0" w:type="dxa"/>
              <w:right w:w="15" w:type="dxa"/>
            </w:tcMar>
            <w:vAlign w:val="center"/>
          </w:tcPr>
          <w:p w14:paraId="5FF508E6">
            <w:pPr>
              <w:spacing w:line="400" w:lineRule="exact"/>
              <w:rPr>
                <w:rFonts w:ascii="宋体" w:hAnsi="宋体" w:cs="宋体"/>
                <w:color w:val="000000"/>
                <w:sz w:val="24"/>
              </w:rPr>
            </w:pPr>
            <w:r>
              <w:rPr>
                <w:rFonts w:hint="eastAsia" w:ascii="宋体" w:hAnsi="宋体" w:cs="宋体"/>
                <w:color w:val="000000"/>
                <w:sz w:val="24"/>
              </w:rPr>
              <w:t>0</w:t>
            </w:r>
          </w:p>
        </w:tc>
      </w:tr>
      <w:tr w14:paraId="35FB8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restart"/>
            <w:tcMar>
              <w:top w:w="15" w:type="dxa"/>
              <w:left w:w="15" w:type="dxa"/>
              <w:bottom w:w="0" w:type="dxa"/>
              <w:right w:w="15" w:type="dxa"/>
            </w:tcMar>
            <w:vAlign w:val="center"/>
          </w:tcPr>
          <w:p w14:paraId="67EF9743">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108" w:type="dxa"/>
            <w:gridSpan w:val="5"/>
            <w:tcMar>
              <w:top w:w="15" w:type="dxa"/>
              <w:left w:w="15" w:type="dxa"/>
              <w:bottom w:w="0" w:type="dxa"/>
              <w:right w:w="15" w:type="dxa"/>
            </w:tcMar>
            <w:vAlign w:val="center"/>
          </w:tcPr>
          <w:p w14:paraId="0C127979">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预期目标</w:t>
            </w:r>
          </w:p>
        </w:tc>
        <w:tc>
          <w:tcPr>
            <w:tcW w:w="4424" w:type="dxa"/>
            <w:gridSpan w:val="2"/>
            <w:tcMar>
              <w:top w:w="15" w:type="dxa"/>
              <w:left w:w="15" w:type="dxa"/>
              <w:bottom w:w="0" w:type="dxa"/>
              <w:right w:w="15" w:type="dxa"/>
            </w:tcMar>
            <w:vAlign w:val="center"/>
          </w:tcPr>
          <w:p w14:paraId="45EBDE52">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实际完成目标</w:t>
            </w:r>
          </w:p>
        </w:tc>
      </w:tr>
      <w:tr w14:paraId="63CB4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05" w:type="dxa"/>
            <w:vMerge w:val="continue"/>
            <w:tcBorders>
              <w:bottom w:val="single" w:color="000000" w:sz="4" w:space="0"/>
            </w:tcBorders>
            <w:vAlign w:val="center"/>
          </w:tcPr>
          <w:p w14:paraId="6F48D7A7">
            <w:pPr>
              <w:widowControl/>
              <w:spacing w:line="400" w:lineRule="exact"/>
              <w:rPr>
                <w:rFonts w:ascii="宋体" w:hAnsi="宋体" w:cs="宋体"/>
                <w:color w:val="000000"/>
                <w:sz w:val="24"/>
              </w:rPr>
            </w:pPr>
          </w:p>
        </w:tc>
        <w:tc>
          <w:tcPr>
            <w:tcW w:w="4108" w:type="dxa"/>
            <w:gridSpan w:val="5"/>
            <w:tcBorders>
              <w:bottom w:val="single" w:color="000000" w:sz="4" w:space="0"/>
            </w:tcBorders>
            <w:tcMar>
              <w:top w:w="15" w:type="dxa"/>
              <w:left w:w="15" w:type="dxa"/>
              <w:bottom w:w="0" w:type="dxa"/>
              <w:right w:w="15" w:type="dxa"/>
            </w:tcMar>
            <w:vAlign w:val="center"/>
          </w:tcPr>
          <w:p w14:paraId="4673517B">
            <w:pPr>
              <w:widowControl/>
              <w:spacing w:line="400" w:lineRule="exact"/>
              <w:textAlignment w:val="center"/>
              <w:rPr>
                <w:rFonts w:ascii="宋体" w:hAnsi="宋体" w:cs="宋体"/>
                <w:color w:val="000000"/>
                <w:sz w:val="24"/>
              </w:rPr>
            </w:pPr>
            <w:r>
              <w:rPr>
                <w:rFonts w:hint="eastAsia" w:ascii="宋体" w:hAnsi="宋体" w:cs="宋体"/>
                <w:sz w:val="24"/>
              </w:rPr>
              <w:t>完成省市下达的书籍、报刊等党报党刊征订。</w:t>
            </w:r>
          </w:p>
        </w:tc>
        <w:tc>
          <w:tcPr>
            <w:tcW w:w="4424" w:type="dxa"/>
            <w:gridSpan w:val="2"/>
            <w:tcBorders>
              <w:bottom w:val="single" w:color="000000" w:sz="4" w:space="0"/>
            </w:tcBorders>
            <w:tcMar>
              <w:top w:w="15" w:type="dxa"/>
              <w:left w:w="15" w:type="dxa"/>
              <w:bottom w:w="0" w:type="dxa"/>
              <w:right w:w="15" w:type="dxa"/>
            </w:tcMar>
            <w:vAlign w:val="center"/>
          </w:tcPr>
          <w:p w14:paraId="414A95DC">
            <w:pPr>
              <w:spacing w:line="400" w:lineRule="exact"/>
              <w:rPr>
                <w:rFonts w:ascii="宋体" w:hAnsi="宋体" w:cs="宋体"/>
                <w:color w:val="000000"/>
                <w:sz w:val="24"/>
              </w:rPr>
            </w:pPr>
            <w:r>
              <w:rPr>
                <w:rFonts w:hint="eastAsia" w:ascii="宋体" w:hAnsi="宋体" w:cs="宋体"/>
                <w:color w:val="000000"/>
                <w:sz w:val="24"/>
              </w:rPr>
              <w:t>全面完成省市下达的书籍、报刊等党报党刊征订。</w:t>
            </w:r>
          </w:p>
        </w:tc>
      </w:tr>
      <w:tr w14:paraId="6233B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805" w:type="dxa"/>
            <w:vMerge w:val="restart"/>
            <w:tcMar>
              <w:top w:w="15" w:type="dxa"/>
              <w:left w:w="15" w:type="dxa"/>
              <w:bottom w:w="0" w:type="dxa"/>
              <w:right w:w="15" w:type="dxa"/>
            </w:tcMar>
            <w:vAlign w:val="center"/>
          </w:tcPr>
          <w:p w14:paraId="316865A3">
            <w:pPr>
              <w:widowControl/>
              <w:spacing w:line="400" w:lineRule="exact"/>
              <w:textAlignment w:val="center"/>
              <w:rPr>
                <w:rFonts w:ascii="宋体" w:hAnsi="宋体" w:cs="宋体"/>
                <w:color w:val="000000"/>
                <w:sz w:val="24"/>
              </w:rPr>
            </w:pPr>
            <w:r>
              <w:rPr>
                <w:rFonts w:hint="eastAsia" w:ascii="宋体" w:hAnsi="宋体" w:cs="宋体"/>
                <w:color w:val="000000"/>
                <w:sz w:val="24"/>
              </w:rPr>
              <w:t>绩效指标完成情况</w:t>
            </w:r>
          </w:p>
        </w:tc>
        <w:tc>
          <w:tcPr>
            <w:tcW w:w="952" w:type="dxa"/>
            <w:gridSpan w:val="2"/>
            <w:tcMar>
              <w:top w:w="15" w:type="dxa"/>
              <w:left w:w="15" w:type="dxa"/>
              <w:bottom w:w="0" w:type="dxa"/>
              <w:right w:w="15" w:type="dxa"/>
            </w:tcMar>
            <w:vAlign w:val="center"/>
          </w:tcPr>
          <w:p w14:paraId="515FACFB">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gridSpan w:val="2"/>
            <w:tcMar>
              <w:top w:w="15" w:type="dxa"/>
              <w:left w:w="15" w:type="dxa"/>
              <w:bottom w:w="0" w:type="dxa"/>
              <w:right w:w="15" w:type="dxa"/>
            </w:tcMar>
            <w:vAlign w:val="center"/>
          </w:tcPr>
          <w:p w14:paraId="21A3A998">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二级指标</w:t>
            </w:r>
          </w:p>
        </w:tc>
        <w:tc>
          <w:tcPr>
            <w:tcW w:w="2131" w:type="dxa"/>
            <w:tcMar>
              <w:top w:w="15" w:type="dxa"/>
              <w:left w:w="15" w:type="dxa"/>
              <w:bottom w:w="0" w:type="dxa"/>
              <w:right w:w="15" w:type="dxa"/>
            </w:tcMar>
            <w:vAlign w:val="center"/>
          </w:tcPr>
          <w:p w14:paraId="7C43E560">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三级指标</w:t>
            </w:r>
          </w:p>
        </w:tc>
        <w:tc>
          <w:tcPr>
            <w:tcW w:w="2212" w:type="dxa"/>
            <w:tcMar>
              <w:top w:w="15" w:type="dxa"/>
              <w:left w:w="15" w:type="dxa"/>
              <w:bottom w:w="0" w:type="dxa"/>
              <w:right w:w="15" w:type="dxa"/>
            </w:tcMar>
            <w:vAlign w:val="center"/>
          </w:tcPr>
          <w:p w14:paraId="0B557478">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212" w:type="dxa"/>
            <w:tcMar>
              <w:top w:w="15" w:type="dxa"/>
              <w:left w:w="15" w:type="dxa"/>
              <w:bottom w:w="0" w:type="dxa"/>
              <w:right w:w="15" w:type="dxa"/>
            </w:tcMar>
            <w:vAlign w:val="center"/>
          </w:tcPr>
          <w:p w14:paraId="08EBC4C0">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4732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805" w:type="dxa"/>
            <w:vMerge w:val="continue"/>
            <w:vAlign w:val="center"/>
          </w:tcPr>
          <w:p w14:paraId="4024B367">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289F324C">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2036B416">
            <w:pPr>
              <w:widowControl/>
              <w:spacing w:line="400" w:lineRule="exact"/>
              <w:textAlignment w:val="center"/>
              <w:rPr>
                <w:rFonts w:ascii="宋体" w:hAnsi="宋体" w:cs="宋体"/>
                <w:color w:val="000000"/>
                <w:sz w:val="24"/>
              </w:rPr>
            </w:pPr>
            <w:r>
              <w:rPr>
                <w:rFonts w:hint="eastAsia" w:ascii="宋体" w:hAnsi="宋体" w:cs="宋体"/>
                <w:color w:val="000000"/>
                <w:sz w:val="24"/>
              </w:rPr>
              <w:t>数量指标</w:t>
            </w:r>
          </w:p>
        </w:tc>
        <w:tc>
          <w:tcPr>
            <w:tcW w:w="2131" w:type="dxa"/>
            <w:tcMar>
              <w:top w:w="15" w:type="dxa"/>
              <w:left w:w="15" w:type="dxa"/>
              <w:bottom w:w="0" w:type="dxa"/>
              <w:right w:w="15" w:type="dxa"/>
            </w:tcMar>
            <w:vAlign w:val="center"/>
          </w:tcPr>
          <w:p w14:paraId="552DC496">
            <w:pPr>
              <w:widowControl/>
              <w:spacing w:line="400" w:lineRule="exact"/>
              <w:textAlignment w:val="center"/>
              <w:rPr>
                <w:rFonts w:ascii="宋体" w:hAnsi="宋体" w:cs="宋体"/>
                <w:color w:val="000000"/>
                <w:sz w:val="24"/>
              </w:rPr>
            </w:pPr>
            <w:r>
              <w:rPr>
                <w:rFonts w:hint="eastAsia" w:ascii="宋体" w:hAnsi="宋体" w:cs="宋体"/>
                <w:color w:val="000000"/>
                <w:sz w:val="24"/>
              </w:rPr>
              <w:t>省市下达的党报党刊征订数量</w:t>
            </w:r>
          </w:p>
        </w:tc>
        <w:tc>
          <w:tcPr>
            <w:tcW w:w="2212" w:type="dxa"/>
            <w:tcMar>
              <w:top w:w="15" w:type="dxa"/>
              <w:left w:w="15" w:type="dxa"/>
              <w:bottom w:w="0" w:type="dxa"/>
              <w:right w:w="15" w:type="dxa"/>
            </w:tcMar>
            <w:vAlign w:val="center"/>
          </w:tcPr>
          <w:p w14:paraId="6AD9E0E1">
            <w:pPr>
              <w:spacing w:line="400" w:lineRule="exact"/>
              <w:rPr>
                <w:rFonts w:ascii="宋体" w:hAnsi="宋体" w:cs="宋体"/>
                <w:color w:val="000000"/>
                <w:sz w:val="24"/>
              </w:rPr>
            </w:pPr>
            <w:r>
              <w:rPr>
                <w:rFonts w:hint="eastAsia" w:ascii="宋体" w:hAnsi="宋体" w:cs="宋体"/>
                <w:color w:val="000000"/>
                <w:sz w:val="24"/>
              </w:rPr>
              <w:t>约900份</w:t>
            </w:r>
          </w:p>
        </w:tc>
        <w:tc>
          <w:tcPr>
            <w:tcW w:w="2212" w:type="dxa"/>
            <w:tcMar>
              <w:top w:w="15" w:type="dxa"/>
              <w:left w:w="15" w:type="dxa"/>
              <w:bottom w:w="0" w:type="dxa"/>
              <w:right w:w="15" w:type="dxa"/>
            </w:tcMar>
            <w:vAlign w:val="center"/>
          </w:tcPr>
          <w:p w14:paraId="610EDA13">
            <w:pPr>
              <w:spacing w:line="400" w:lineRule="exact"/>
              <w:rPr>
                <w:rFonts w:ascii="宋体" w:hAnsi="宋体" w:cs="宋体"/>
                <w:color w:val="000000"/>
                <w:sz w:val="24"/>
              </w:rPr>
            </w:pPr>
            <w:r>
              <w:rPr>
                <w:rFonts w:hint="eastAsia" w:ascii="宋体" w:hAnsi="宋体" w:cs="宋体"/>
                <w:color w:val="000000"/>
                <w:sz w:val="24"/>
              </w:rPr>
              <w:t>875份</w:t>
            </w:r>
          </w:p>
        </w:tc>
      </w:tr>
      <w:tr w14:paraId="10CD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805" w:type="dxa"/>
            <w:vMerge w:val="continue"/>
            <w:vAlign w:val="center"/>
          </w:tcPr>
          <w:p w14:paraId="15B735B5">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139E5C1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1ECD9048">
            <w:pPr>
              <w:widowControl/>
              <w:spacing w:line="400" w:lineRule="exact"/>
              <w:textAlignment w:val="center"/>
              <w:rPr>
                <w:rFonts w:ascii="宋体" w:hAnsi="宋体" w:cs="宋体"/>
                <w:color w:val="000000"/>
                <w:sz w:val="24"/>
              </w:rPr>
            </w:pPr>
            <w:r>
              <w:rPr>
                <w:rFonts w:hint="eastAsia" w:ascii="宋体" w:hAnsi="宋体" w:cs="宋体"/>
                <w:color w:val="000000"/>
                <w:sz w:val="24"/>
              </w:rPr>
              <w:t>时效指标</w:t>
            </w:r>
          </w:p>
        </w:tc>
        <w:tc>
          <w:tcPr>
            <w:tcW w:w="2131" w:type="dxa"/>
            <w:tcMar>
              <w:top w:w="15" w:type="dxa"/>
              <w:left w:w="15" w:type="dxa"/>
              <w:bottom w:w="0" w:type="dxa"/>
              <w:right w:w="15" w:type="dxa"/>
            </w:tcMar>
            <w:vAlign w:val="center"/>
          </w:tcPr>
          <w:p w14:paraId="601F50A6">
            <w:pPr>
              <w:spacing w:line="400" w:lineRule="exact"/>
              <w:rPr>
                <w:rFonts w:ascii="宋体" w:hAnsi="宋体" w:cs="宋体"/>
                <w:color w:val="000000"/>
                <w:sz w:val="24"/>
              </w:rPr>
            </w:pPr>
            <w:r>
              <w:rPr>
                <w:rFonts w:hint="eastAsia" w:ascii="宋体" w:hAnsi="宋体" w:cs="宋体"/>
                <w:color w:val="000000"/>
                <w:sz w:val="24"/>
              </w:rPr>
              <w:t>资金支付进度</w:t>
            </w:r>
          </w:p>
        </w:tc>
        <w:tc>
          <w:tcPr>
            <w:tcW w:w="2212" w:type="dxa"/>
            <w:tcMar>
              <w:top w:w="15" w:type="dxa"/>
              <w:left w:w="15" w:type="dxa"/>
              <w:bottom w:w="0" w:type="dxa"/>
              <w:right w:w="15" w:type="dxa"/>
            </w:tcMar>
            <w:vAlign w:val="center"/>
          </w:tcPr>
          <w:p w14:paraId="16DD352B">
            <w:pPr>
              <w:spacing w:line="400" w:lineRule="exact"/>
              <w:rPr>
                <w:rFonts w:ascii="宋体" w:hAnsi="宋体" w:cs="宋体"/>
                <w:color w:val="000000"/>
                <w:sz w:val="24"/>
              </w:rPr>
            </w:pPr>
            <w:r>
              <w:rPr>
                <w:rFonts w:hint="eastAsia" w:ascii="宋体" w:hAnsi="宋体" w:cs="宋体"/>
                <w:color w:val="000000"/>
                <w:sz w:val="24"/>
              </w:rPr>
              <w:t>2019年11月</w:t>
            </w:r>
          </w:p>
        </w:tc>
        <w:tc>
          <w:tcPr>
            <w:tcW w:w="2212" w:type="dxa"/>
            <w:tcMar>
              <w:top w:w="15" w:type="dxa"/>
              <w:left w:w="15" w:type="dxa"/>
              <w:bottom w:w="0" w:type="dxa"/>
              <w:right w:w="15" w:type="dxa"/>
            </w:tcMar>
            <w:vAlign w:val="center"/>
          </w:tcPr>
          <w:p w14:paraId="184F39E9">
            <w:pPr>
              <w:spacing w:line="400" w:lineRule="exact"/>
              <w:rPr>
                <w:rFonts w:ascii="宋体" w:hAnsi="宋体" w:cs="宋体"/>
                <w:color w:val="000000"/>
                <w:sz w:val="24"/>
              </w:rPr>
            </w:pPr>
            <w:r>
              <w:rPr>
                <w:rFonts w:hint="eastAsia" w:ascii="宋体" w:hAnsi="宋体" w:cs="宋体"/>
                <w:color w:val="000000"/>
                <w:sz w:val="24"/>
              </w:rPr>
              <w:t>2019年12月</w:t>
            </w:r>
          </w:p>
        </w:tc>
      </w:tr>
      <w:tr w14:paraId="1DF5F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805" w:type="dxa"/>
            <w:vMerge w:val="continue"/>
            <w:vAlign w:val="center"/>
          </w:tcPr>
          <w:p w14:paraId="1C745E09">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171AD670">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566D8F99">
            <w:pPr>
              <w:widowControl/>
              <w:spacing w:line="400" w:lineRule="exact"/>
              <w:textAlignment w:val="center"/>
              <w:rPr>
                <w:rFonts w:ascii="宋体" w:hAnsi="宋体" w:cs="宋体"/>
                <w:color w:val="000000"/>
                <w:sz w:val="24"/>
              </w:rPr>
            </w:pPr>
            <w:r>
              <w:rPr>
                <w:rFonts w:hint="eastAsia" w:ascii="宋体" w:hAnsi="宋体" w:cs="宋体"/>
                <w:color w:val="000000"/>
                <w:sz w:val="24"/>
              </w:rPr>
              <w:t>时效指标</w:t>
            </w:r>
          </w:p>
        </w:tc>
        <w:tc>
          <w:tcPr>
            <w:tcW w:w="2131" w:type="dxa"/>
            <w:tcMar>
              <w:top w:w="15" w:type="dxa"/>
              <w:left w:w="15" w:type="dxa"/>
              <w:bottom w:w="0" w:type="dxa"/>
              <w:right w:w="15" w:type="dxa"/>
            </w:tcMar>
            <w:vAlign w:val="center"/>
          </w:tcPr>
          <w:p w14:paraId="34205376">
            <w:pPr>
              <w:widowControl/>
              <w:spacing w:line="400" w:lineRule="exact"/>
              <w:textAlignment w:val="center"/>
              <w:rPr>
                <w:rFonts w:ascii="宋体" w:hAnsi="宋体" w:cs="宋体"/>
                <w:color w:val="000000"/>
                <w:sz w:val="24"/>
              </w:rPr>
            </w:pPr>
            <w:r>
              <w:rPr>
                <w:rFonts w:hint="eastAsia" w:ascii="宋体" w:hAnsi="宋体" w:cs="宋体"/>
                <w:color w:val="000000"/>
                <w:sz w:val="24"/>
              </w:rPr>
              <w:t>完成下年党报党刊征订时间</w:t>
            </w:r>
          </w:p>
        </w:tc>
        <w:tc>
          <w:tcPr>
            <w:tcW w:w="2212" w:type="dxa"/>
            <w:tcMar>
              <w:top w:w="15" w:type="dxa"/>
              <w:left w:w="15" w:type="dxa"/>
              <w:bottom w:w="0" w:type="dxa"/>
              <w:right w:w="15" w:type="dxa"/>
            </w:tcMar>
            <w:vAlign w:val="center"/>
          </w:tcPr>
          <w:p w14:paraId="1AE9B5A5">
            <w:pPr>
              <w:spacing w:line="400" w:lineRule="exact"/>
              <w:rPr>
                <w:rFonts w:ascii="宋体" w:hAnsi="宋体" w:cs="宋体"/>
                <w:color w:val="000000"/>
                <w:sz w:val="24"/>
              </w:rPr>
            </w:pPr>
            <w:r>
              <w:rPr>
                <w:rFonts w:hint="eastAsia" w:ascii="宋体" w:hAnsi="宋体" w:cs="宋体"/>
                <w:color w:val="000000"/>
                <w:sz w:val="24"/>
              </w:rPr>
              <w:t>2019年11月</w:t>
            </w:r>
          </w:p>
        </w:tc>
        <w:tc>
          <w:tcPr>
            <w:tcW w:w="2212" w:type="dxa"/>
            <w:tcMar>
              <w:top w:w="15" w:type="dxa"/>
              <w:left w:w="15" w:type="dxa"/>
              <w:bottom w:w="0" w:type="dxa"/>
              <w:right w:w="15" w:type="dxa"/>
            </w:tcMar>
            <w:vAlign w:val="center"/>
          </w:tcPr>
          <w:p w14:paraId="657B61B9">
            <w:pPr>
              <w:spacing w:line="400" w:lineRule="exact"/>
              <w:rPr>
                <w:rFonts w:ascii="宋体" w:hAnsi="宋体" w:cs="宋体"/>
                <w:color w:val="000000"/>
                <w:sz w:val="24"/>
              </w:rPr>
            </w:pPr>
            <w:r>
              <w:rPr>
                <w:rFonts w:hint="eastAsia" w:ascii="宋体" w:hAnsi="宋体" w:cs="宋体"/>
                <w:color w:val="000000"/>
                <w:sz w:val="24"/>
              </w:rPr>
              <w:t>2019年12月</w:t>
            </w:r>
          </w:p>
        </w:tc>
      </w:tr>
      <w:tr w14:paraId="1F8DE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05" w:type="dxa"/>
            <w:vMerge w:val="continue"/>
            <w:tcBorders>
              <w:bottom w:val="single" w:color="000000" w:sz="4" w:space="0"/>
            </w:tcBorders>
            <w:vAlign w:val="center"/>
          </w:tcPr>
          <w:p w14:paraId="3764D8E0">
            <w:pPr>
              <w:widowControl/>
              <w:spacing w:line="400" w:lineRule="exact"/>
              <w:rPr>
                <w:rFonts w:ascii="宋体" w:hAnsi="宋体" w:cs="宋体"/>
                <w:color w:val="000000"/>
                <w:sz w:val="24"/>
              </w:rPr>
            </w:pPr>
          </w:p>
        </w:tc>
        <w:tc>
          <w:tcPr>
            <w:tcW w:w="952" w:type="dxa"/>
            <w:gridSpan w:val="2"/>
            <w:tcBorders>
              <w:bottom w:val="single" w:color="000000" w:sz="4" w:space="0"/>
            </w:tcBorders>
            <w:tcMar>
              <w:top w:w="15" w:type="dxa"/>
              <w:left w:w="15" w:type="dxa"/>
              <w:bottom w:w="0" w:type="dxa"/>
              <w:right w:w="15" w:type="dxa"/>
            </w:tcMar>
            <w:vAlign w:val="center"/>
          </w:tcPr>
          <w:p w14:paraId="7221A07E">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gridSpan w:val="2"/>
            <w:tcBorders>
              <w:bottom w:val="single" w:color="000000" w:sz="4" w:space="0"/>
            </w:tcBorders>
            <w:tcMar>
              <w:top w:w="15" w:type="dxa"/>
              <w:left w:w="15" w:type="dxa"/>
              <w:bottom w:w="0" w:type="dxa"/>
              <w:right w:w="15" w:type="dxa"/>
            </w:tcMar>
            <w:vAlign w:val="center"/>
          </w:tcPr>
          <w:p w14:paraId="14788F8F">
            <w:pPr>
              <w:widowControl/>
              <w:spacing w:line="400" w:lineRule="exact"/>
              <w:textAlignment w:val="center"/>
              <w:rPr>
                <w:rFonts w:ascii="宋体" w:hAnsi="宋体" w:cs="宋体"/>
                <w:color w:val="000000"/>
                <w:sz w:val="24"/>
              </w:rPr>
            </w:pPr>
          </w:p>
        </w:tc>
        <w:tc>
          <w:tcPr>
            <w:tcW w:w="2131" w:type="dxa"/>
            <w:tcBorders>
              <w:bottom w:val="single" w:color="000000" w:sz="4" w:space="0"/>
            </w:tcBorders>
            <w:tcMar>
              <w:top w:w="15" w:type="dxa"/>
              <w:left w:w="15" w:type="dxa"/>
              <w:bottom w:w="0" w:type="dxa"/>
              <w:right w:w="15" w:type="dxa"/>
            </w:tcMar>
            <w:vAlign w:val="center"/>
          </w:tcPr>
          <w:p w14:paraId="308E19A3">
            <w:pPr>
              <w:widowControl/>
              <w:spacing w:line="400" w:lineRule="exact"/>
              <w:textAlignment w:val="center"/>
              <w:rPr>
                <w:rFonts w:ascii="宋体" w:hAnsi="宋体" w:cs="宋体"/>
                <w:color w:val="000000"/>
                <w:sz w:val="24"/>
              </w:rPr>
            </w:pPr>
          </w:p>
        </w:tc>
        <w:tc>
          <w:tcPr>
            <w:tcW w:w="2212" w:type="dxa"/>
            <w:tcBorders>
              <w:bottom w:val="single" w:color="000000" w:sz="4" w:space="0"/>
            </w:tcBorders>
            <w:tcMar>
              <w:top w:w="15" w:type="dxa"/>
              <w:left w:w="15" w:type="dxa"/>
              <w:bottom w:w="0" w:type="dxa"/>
              <w:right w:w="15" w:type="dxa"/>
            </w:tcMar>
            <w:vAlign w:val="center"/>
          </w:tcPr>
          <w:p w14:paraId="59E4800A">
            <w:pPr>
              <w:spacing w:line="400" w:lineRule="exact"/>
              <w:rPr>
                <w:rFonts w:ascii="宋体" w:hAnsi="宋体" w:cs="宋体"/>
                <w:color w:val="000000"/>
                <w:sz w:val="24"/>
              </w:rPr>
            </w:pPr>
          </w:p>
        </w:tc>
        <w:tc>
          <w:tcPr>
            <w:tcW w:w="2212" w:type="dxa"/>
            <w:tcBorders>
              <w:bottom w:val="single" w:color="000000" w:sz="4" w:space="0"/>
            </w:tcBorders>
            <w:tcMar>
              <w:top w:w="15" w:type="dxa"/>
              <w:left w:w="15" w:type="dxa"/>
              <w:bottom w:w="0" w:type="dxa"/>
              <w:right w:w="15" w:type="dxa"/>
            </w:tcMar>
            <w:vAlign w:val="center"/>
          </w:tcPr>
          <w:p w14:paraId="0F629DCA">
            <w:pPr>
              <w:spacing w:line="400" w:lineRule="exact"/>
              <w:ind w:firstLine="1062" w:firstLineChars="450"/>
              <w:rPr>
                <w:rFonts w:ascii="宋体" w:hAnsi="宋体" w:cs="宋体"/>
                <w:color w:val="000000"/>
                <w:sz w:val="24"/>
              </w:rPr>
            </w:pPr>
          </w:p>
        </w:tc>
      </w:tr>
      <w:tr w14:paraId="0ADF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337" w:type="dxa"/>
            <w:gridSpan w:val="8"/>
            <w:tcBorders>
              <w:top w:val="single" w:color="000000" w:sz="4" w:space="0"/>
              <w:left w:val="nil"/>
              <w:bottom w:val="nil"/>
              <w:right w:val="nil"/>
            </w:tcBorders>
            <w:tcMar>
              <w:top w:w="15" w:type="dxa"/>
              <w:left w:w="15" w:type="dxa"/>
              <w:bottom w:w="0" w:type="dxa"/>
              <w:right w:w="15" w:type="dxa"/>
            </w:tcMar>
            <w:vAlign w:val="center"/>
          </w:tcPr>
          <w:p w14:paraId="1CDDEEFD">
            <w:pPr>
              <w:widowControl/>
              <w:spacing w:line="400" w:lineRule="exact"/>
              <w:textAlignment w:val="center"/>
              <w:rPr>
                <w:rFonts w:ascii="宋体" w:hAnsi="宋体" w:cs="宋体"/>
                <w:color w:val="000000"/>
                <w:sz w:val="36"/>
                <w:szCs w:val="36"/>
              </w:rPr>
            </w:pPr>
          </w:p>
        </w:tc>
      </w:tr>
      <w:tr w14:paraId="7F80A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337" w:type="dxa"/>
            <w:gridSpan w:val="8"/>
            <w:tcBorders>
              <w:top w:val="nil"/>
              <w:left w:val="nil"/>
              <w:bottom w:val="nil"/>
              <w:right w:val="nil"/>
            </w:tcBorders>
            <w:tcMar>
              <w:top w:w="15" w:type="dxa"/>
              <w:left w:w="15" w:type="dxa"/>
              <w:bottom w:w="0" w:type="dxa"/>
              <w:right w:w="15" w:type="dxa"/>
            </w:tcMar>
            <w:vAlign w:val="center"/>
          </w:tcPr>
          <w:p w14:paraId="0AF9C685">
            <w:pPr>
              <w:widowControl/>
              <w:spacing w:line="400" w:lineRule="exact"/>
              <w:textAlignment w:val="center"/>
              <w:rPr>
                <w:rFonts w:ascii="宋体" w:hAnsi="宋体" w:cs="宋体"/>
                <w:color w:val="000000"/>
                <w:sz w:val="36"/>
                <w:szCs w:val="36"/>
              </w:rPr>
            </w:pPr>
          </w:p>
        </w:tc>
      </w:tr>
      <w:tr w14:paraId="654DF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9337" w:type="dxa"/>
            <w:gridSpan w:val="8"/>
            <w:tcBorders>
              <w:top w:val="nil"/>
              <w:left w:val="nil"/>
              <w:bottom w:val="single" w:color="000000" w:sz="4" w:space="0"/>
              <w:right w:val="nil"/>
            </w:tcBorders>
            <w:tcMar>
              <w:top w:w="15" w:type="dxa"/>
              <w:left w:w="15" w:type="dxa"/>
              <w:bottom w:w="0" w:type="dxa"/>
              <w:right w:w="15" w:type="dxa"/>
            </w:tcMar>
            <w:vAlign w:val="center"/>
          </w:tcPr>
          <w:p w14:paraId="6C56E5AA">
            <w:pPr>
              <w:widowControl/>
              <w:spacing w:line="400" w:lineRule="exact"/>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3746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782" w:type="dxa"/>
            <w:gridSpan w:val="5"/>
            <w:tcBorders>
              <w:top w:val="single" w:color="000000" w:sz="4" w:space="0"/>
            </w:tcBorders>
            <w:tcMar>
              <w:top w:w="15" w:type="dxa"/>
              <w:left w:w="15" w:type="dxa"/>
              <w:bottom w:w="0" w:type="dxa"/>
              <w:right w:w="15" w:type="dxa"/>
            </w:tcMar>
            <w:vAlign w:val="center"/>
          </w:tcPr>
          <w:p w14:paraId="0A3519BC">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项目名称</w:t>
            </w:r>
          </w:p>
        </w:tc>
        <w:tc>
          <w:tcPr>
            <w:tcW w:w="6555" w:type="dxa"/>
            <w:gridSpan w:val="3"/>
            <w:tcBorders>
              <w:top w:val="single" w:color="000000" w:sz="4" w:space="0"/>
            </w:tcBorders>
            <w:tcMar>
              <w:top w:w="15" w:type="dxa"/>
              <w:left w:w="15" w:type="dxa"/>
              <w:bottom w:w="0" w:type="dxa"/>
              <w:right w:w="15" w:type="dxa"/>
            </w:tcMar>
            <w:vAlign w:val="center"/>
          </w:tcPr>
          <w:p w14:paraId="17B04B36">
            <w:pPr>
              <w:widowControl/>
              <w:spacing w:line="400" w:lineRule="exact"/>
              <w:textAlignment w:val="center"/>
              <w:rPr>
                <w:rFonts w:ascii="宋体" w:hAnsi="宋体" w:cs="宋体"/>
                <w:color w:val="000000"/>
                <w:sz w:val="24"/>
              </w:rPr>
            </w:pPr>
            <w:r>
              <w:rPr>
                <w:rFonts w:hint="eastAsia" w:ascii="宋体" w:hAnsi="宋体" w:cs="宋体"/>
                <w:color w:val="000000"/>
                <w:sz w:val="24"/>
              </w:rPr>
              <w:t>招商经费</w:t>
            </w:r>
          </w:p>
        </w:tc>
      </w:tr>
      <w:tr w14:paraId="1AB4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782" w:type="dxa"/>
            <w:gridSpan w:val="5"/>
            <w:tcMar>
              <w:top w:w="15" w:type="dxa"/>
              <w:left w:w="15" w:type="dxa"/>
              <w:bottom w:w="0" w:type="dxa"/>
              <w:right w:w="15" w:type="dxa"/>
            </w:tcMar>
            <w:vAlign w:val="center"/>
          </w:tcPr>
          <w:p w14:paraId="6A83C7DD">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预算单位</w:t>
            </w:r>
          </w:p>
        </w:tc>
        <w:tc>
          <w:tcPr>
            <w:tcW w:w="6555" w:type="dxa"/>
            <w:gridSpan w:val="3"/>
            <w:tcMar>
              <w:top w:w="15" w:type="dxa"/>
              <w:left w:w="15" w:type="dxa"/>
              <w:bottom w:w="0" w:type="dxa"/>
              <w:right w:w="15" w:type="dxa"/>
            </w:tcMar>
            <w:vAlign w:val="center"/>
          </w:tcPr>
          <w:p w14:paraId="42369182">
            <w:pPr>
              <w:widowControl/>
              <w:spacing w:line="400" w:lineRule="exact"/>
              <w:textAlignment w:val="center"/>
              <w:rPr>
                <w:rFonts w:ascii="宋体" w:hAnsi="宋体" w:cs="宋体"/>
                <w:color w:val="000000"/>
                <w:sz w:val="24"/>
              </w:rPr>
            </w:pPr>
            <w:r>
              <w:rPr>
                <w:rFonts w:hint="eastAsia" w:ascii="宋体" w:hAnsi="宋体" w:cs="宋体"/>
                <w:color w:val="000000"/>
                <w:sz w:val="24"/>
              </w:rPr>
              <w:t>党工委办公室</w:t>
            </w:r>
          </w:p>
        </w:tc>
      </w:tr>
      <w:tr w14:paraId="4D022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restart"/>
            <w:tcMar>
              <w:top w:w="15" w:type="dxa"/>
              <w:left w:w="15" w:type="dxa"/>
              <w:bottom w:w="0" w:type="dxa"/>
              <w:right w:w="15" w:type="dxa"/>
            </w:tcMar>
            <w:vAlign w:val="center"/>
          </w:tcPr>
          <w:p w14:paraId="380390A4">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77" w:type="dxa"/>
            <w:gridSpan w:val="4"/>
            <w:tcMar>
              <w:top w:w="15" w:type="dxa"/>
              <w:left w:w="15" w:type="dxa"/>
              <w:bottom w:w="0" w:type="dxa"/>
              <w:right w:w="15" w:type="dxa"/>
            </w:tcMar>
            <w:vAlign w:val="center"/>
          </w:tcPr>
          <w:p w14:paraId="35AEE404">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预算数:</w:t>
            </w:r>
          </w:p>
        </w:tc>
        <w:tc>
          <w:tcPr>
            <w:tcW w:w="2131" w:type="dxa"/>
            <w:tcMar>
              <w:top w:w="15" w:type="dxa"/>
              <w:left w:w="15" w:type="dxa"/>
              <w:bottom w:w="0" w:type="dxa"/>
              <w:right w:w="15" w:type="dxa"/>
            </w:tcMar>
            <w:vAlign w:val="center"/>
          </w:tcPr>
          <w:p w14:paraId="7FD3522C">
            <w:pPr>
              <w:widowControl/>
              <w:spacing w:line="400" w:lineRule="exact"/>
              <w:textAlignment w:val="center"/>
              <w:rPr>
                <w:rFonts w:ascii="宋体" w:hAnsi="宋体" w:cs="宋体"/>
                <w:color w:val="000000"/>
                <w:sz w:val="24"/>
              </w:rPr>
            </w:pPr>
            <w:r>
              <w:rPr>
                <w:rFonts w:hint="eastAsia" w:ascii="宋体" w:hAnsi="宋体" w:cs="宋体"/>
                <w:color w:val="000000"/>
                <w:sz w:val="24"/>
              </w:rPr>
              <w:t>100万元</w:t>
            </w:r>
          </w:p>
        </w:tc>
        <w:tc>
          <w:tcPr>
            <w:tcW w:w="2212" w:type="dxa"/>
            <w:tcMar>
              <w:top w:w="15" w:type="dxa"/>
              <w:left w:w="15" w:type="dxa"/>
              <w:bottom w:w="0" w:type="dxa"/>
              <w:right w:w="15" w:type="dxa"/>
            </w:tcMar>
            <w:vAlign w:val="center"/>
          </w:tcPr>
          <w:p w14:paraId="0126CEF2">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执行数:</w:t>
            </w:r>
          </w:p>
        </w:tc>
        <w:tc>
          <w:tcPr>
            <w:tcW w:w="2212" w:type="dxa"/>
            <w:tcMar>
              <w:top w:w="15" w:type="dxa"/>
              <w:left w:w="15" w:type="dxa"/>
              <w:bottom w:w="0" w:type="dxa"/>
              <w:right w:w="15" w:type="dxa"/>
            </w:tcMar>
            <w:vAlign w:val="center"/>
          </w:tcPr>
          <w:p w14:paraId="6B6F2048">
            <w:pPr>
              <w:widowControl/>
              <w:spacing w:line="400" w:lineRule="exact"/>
              <w:textAlignment w:val="center"/>
              <w:rPr>
                <w:rFonts w:ascii="宋体" w:hAnsi="宋体" w:cs="宋体"/>
                <w:color w:val="000000"/>
                <w:sz w:val="24"/>
              </w:rPr>
            </w:pPr>
            <w:r>
              <w:rPr>
                <w:rFonts w:hint="eastAsia" w:ascii="宋体" w:hAnsi="宋体" w:cs="宋体"/>
                <w:color w:val="000000"/>
                <w:sz w:val="24"/>
              </w:rPr>
              <w:t>75.47万元</w:t>
            </w:r>
          </w:p>
        </w:tc>
      </w:tr>
      <w:tr w14:paraId="0082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continue"/>
            <w:vAlign w:val="center"/>
          </w:tcPr>
          <w:p w14:paraId="06822739">
            <w:pPr>
              <w:widowControl/>
              <w:spacing w:line="400" w:lineRule="exact"/>
              <w:rPr>
                <w:rFonts w:ascii="宋体" w:hAnsi="宋体" w:cs="宋体"/>
                <w:color w:val="000000"/>
                <w:sz w:val="24"/>
              </w:rPr>
            </w:pPr>
          </w:p>
        </w:tc>
        <w:tc>
          <w:tcPr>
            <w:tcW w:w="1977" w:type="dxa"/>
            <w:gridSpan w:val="4"/>
            <w:tcMar>
              <w:top w:w="15" w:type="dxa"/>
              <w:left w:w="15" w:type="dxa"/>
              <w:bottom w:w="0" w:type="dxa"/>
              <w:right w:w="15" w:type="dxa"/>
            </w:tcMar>
            <w:vAlign w:val="center"/>
          </w:tcPr>
          <w:p w14:paraId="6520A20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其中-财政拨款:</w:t>
            </w:r>
          </w:p>
        </w:tc>
        <w:tc>
          <w:tcPr>
            <w:tcW w:w="2131" w:type="dxa"/>
            <w:tcMar>
              <w:top w:w="15" w:type="dxa"/>
              <w:left w:w="15" w:type="dxa"/>
              <w:bottom w:w="0" w:type="dxa"/>
              <w:right w:w="15" w:type="dxa"/>
            </w:tcMar>
            <w:vAlign w:val="center"/>
          </w:tcPr>
          <w:p w14:paraId="020D7307">
            <w:pPr>
              <w:widowControl/>
              <w:spacing w:line="400" w:lineRule="exact"/>
              <w:ind w:firstLine="708" w:firstLineChars="300"/>
              <w:textAlignment w:val="center"/>
              <w:rPr>
                <w:rFonts w:ascii="宋体" w:hAnsi="宋体" w:cs="宋体"/>
                <w:color w:val="000000"/>
                <w:sz w:val="24"/>
              </w:rPr>
            </w:pPr>
            <w:r>
              <w:rPr>
                <w:rFonts w:hint="eastAsia" w:ascii="宋体" w:hAnsi="宋体" w:cs="宋体"/>
                <w:color w:val="000000"/>
                <w:sz w:val="24"/>
              </w:rPr>
              <w:t>100万元</w:t>
            </w:r>
          </w:p>
        </w:tc>
        <w:tc>
          <w:tcPr>
            <w:tcW w:w="2212" w:type="dxa"/>
            <w:tcMar>
              <w:top w:w="15" w:type="dxa"/>
              <w:left w:w="15" w:type="dxa"/>
              <w:bottom w:w="0" w:type="dxa"/>
              <w:right w:w="15" w:type="dxa"/>
            </w:tcMar>
            <w:vAlign w:val="center"/>
          </w:tcPr>
          <w:p w14:paraId="7A57AE2E">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其中-财政拨款:</w:t>
            </w:r>
          </w:p>
        </w:tc>
        <w:tc>
          <w:tcPr>
            <w:tcW w:w="2212" w:type="dxa"/>
            <w:tcMar>
              <w:top w:w="15" w:type="dxa"/>
              <w:left w:w="15" w:type="dxa"/>
              <w:bottom w:w="0" w:type="dxa"/>
              <w:right w:w="15" w:type="dxa"/>
            </w:tcMar>
            <w:vAlign w:val="center"/>
          </w:tcPr>
          <w:p w14:paraId="742722FC">
            <w:pPr>
              <w:widowControl/>
              <w:spacing w:line="400" w:lineRule="exact"/>
              <w:textAlignment w:val="center"/>
              <w:rPr>
                <w:rFonts w:ascii="宋体" w:hAnsi="宋体" w:cs="宋体"/>
                <w:color w:val="000000"/>
                <w:sz w:val="24"/>
              </w:rPr>
            </w:pPr>
            <w:r>
              <w:rPr>
                <w:rFonts w:hint="eastAsia" w:ascii="宋体" w:hAnsi="宋体" w:cs="宋体"/>
                <w:color w:val="000000"/>
                <w:sz w:val="24"/>
              </w:rPr>
              <w:t>75.47万元</w:t>
            </w:r>
          </w:p>
        </w:tc>
      </w:tr>
      <w:tr w14:paraId="019A2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05" w:type="dxa"/>
            <w:vMerge w:val="continue"/>
            <w:vAlign w:val="center"/>
          </w:tcPr>
          <w:p w14:paraId="043796F3">
            <w:pPr>
              <w:widowControl/>
              <w:spacing w:line="400" w:lineRule="exact"/>
              <w:rPr>
                <w:rFonts w:ascii="宋体" w:hAnsi="宋体" w:cs="宋体"/>
                <w:color w:val="000000"/>
                <w:sz w:val="24"/>
              </w:rPr>
            </w:pPr>
          </w:p>
        </w:tc>
        <w:tc>
          <w:tcPr>
            <w:tcW w:w="1977" w:type="dxa"/>
            <w:gridSpan w:val="4"/>
            <w:tcMar>
              <w:top w:w="15" w:type="dxa"/>
              <w:left w:w="15" w:type="dxa"/>
              <w:bottom w:w="0" w:type="dxa"/>
              <w:right w:w="15" w:type="dxa"/>
            </w:tcMar>
            <w:vAlign w:val="center"/>
          </w:tcPr>
          <w:p w14:paraId="62989FBA">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其它资金:</w:t>
            </w:r>
          </w:p>
        </w:tc>
        <w:tc>
          <w:tcPr>
            <w:tcW w:w="2131" w:type="dxa"/>
            <w:tcMar>
              <w:top w:w="15" w:type="dxa"/>
              <w:left w:w="15" w:type="dxa"/>
              <w:bottom w:w="0" w:type="dxa"/>
              <w:right w:w="15" w:type="dxa"/>
            </w:tcMar>
            <w:vAlign w:val="center"/>
          </w:tcPr>
          <w:p w14:paraId="5F0FC7F2">
            <w:pPr>
              <w:widowControl/>
              <w:spacing w:line="400" w:lineRule="exact"/>
              <w:textAlignment w:val="center"/>
              <w:rPr>
                <w:rFonts w:ascii="宋体" w:hAnsi="宋体" w:cs="宋体"/>
                <w:color w:val="000000"/>
                <w:sz w:val="24"/>
              </w:rPr>
            </w:pPr>
            <w:r>
              <w:rPr>
                <w:rFonts w:hint="eastAsia" w:ascii="宋体" w:hAnsi="宋体" w:cs="宋体"/>
                <w:color w:val="000000"/>
                <w:sz w:val="24"/>
              </w:rPr>
              <w:t>0</w:t>
            </w:r>
          </w:p>
        </w:tc>
        <w:tc>
          <w:tcPr>
            <w:tcW w:w="2212" w:type="dxa"/>
            <w:tcMar>
              <w:top w:w="15" w:type="dxa"/>
              <w:left w:w="15" w:type="dxa"/>
              <w:bottom w:w="0" w:type="dxa"/>
              <w:right w:w="15" w:type="dxa"/>
            </w:tcMar>
            <w:vAlign w:val="center"/>
          </w:tcPr>
          <w:p w14:paraId="35A84713">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其它资金:</w:t>
            </w:r>
          </w:p>
        </w:tc>
        <w:tc>
          <w:tcPr>
            <w:tcW w:w="2212" w:type="dxa"/>
            <w:tcMar>
              <w:top w:w="15" w:type="dxa"/>
              <w:left w:w="15" w:type="dxa"/>
              <w:bottom w:w="0" w:type="dxa"/>
              <w:right w:w="15" w:type="dxa"/>
            </w:tcMar>
            <w:vAlign w:val="center"/>
          </w:tcPr>
          <w:p w14:paraId="07BED151">
            <w:pPr>
              <w:spacing w:line="400" w:lineRule="exact"/>
              <w:rPr>
                <w:rFonts w:ascii="宋体" w:hAnsi="宋体" w:cs="宋体"/>
                <w:color w:val="000000"/>
                <w:sz w:val="24"/>
              </w:rPr>
            </w:pPr>
            <w:r>
              <w:rPr>
                <w:rFonts w:hint="eastAsia" w:ascii="宋体" w:hAnsi="宋体" w:cs="宋体"/>
                <w:color w:val="000000"/>
                <w:sz w:val="24"/>
              </w:rPr>
              <w:t>0</w:t>
            </w:r>
          </w:p>
        </w:tc>
      </w:tr>
      <w:tr w14:paraId="42227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restart"/>
            <w:tcMar>
              <w:top w:w="15" w:type="dxa"/>
              <w:left w:w="15" w:type="dxa"/>
              <w:bottom w:w="0" w:type="dxa"/>
              <w:right w:w="15" w:type="dxa"/>
            </w:tcMar>
            <w:vAlign w:val="center"/>
          </w:tcPr>
          <w:p w14:paraId="68F15F7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108" w:type="dxa"/>
            <w:gridSpan w:val="5"/>
            <w:tcMar>
              <w:top w:w="15" w:type="dxa"/>
              <w:left w:w="15" w:type="dxa"/>
              <w:bottom w:w="0" w:type="dxa"/>
              <w:right w:w="15" w:type="dxa"/>
            </w:tcMar>
            <w:vAlign w:val="center"/>
          </w:tcPr>
          <w:p w14:paraId="237638B3">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预期目标</w:t>
            </w:r>
          </w:p>
        </w:tc>
        <w:tc>
          <w:tcPr>
            <w:tcW w:w="4424" w:type="dxa"/>
            <w:gridSpan w:val="2"/>
            <w:tcMar>
              <w:top w:w="15" w:type="dxa"/>
              <w:left w:w="15" w:type="dxa"/>
              <w:bottom w:w="0" w:type="dxa"/>
              <w:right w:w="15" w:type="dxa"/>
            </w:tcMar>
            <w:vAlign w:val="center"/>
          </w:tcPr>
          <w:p w14:paraId="749054DA">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实际完成目标</w:t>
            </w:r>
          </w:p>
        </w:tc>
      </w:tr>
      <w:tr w14:paraId="5B3BF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05" w:type="dxa"/>
            <w:vMerge w:val="continue"/>
            <w:tcBorders>
              <w:bottom w:val="single" w:color="000000" w:sz="4" w:space="0"/>
            </w:tcBorders>
            <w:vAlign w:val="center"/>
          </w:tcPr>
          <w:p w14:paraId="646F4F58">
            <w:pPr>
              <w:widowControl/>
              <w:spacing w:line="400" w:lineRule="exact"/>
              <w:rPr>
                <w:rFonts w:ascii="宋体" w:hAnsi="宋体" w:cs="宋体"/>
                <w:color w:val="000000"/>
                <w:sz w:val="24"/>
              </w:rPr>
            </w:pPr>
          </w:p>
        </w:tc>
        <w:tc>
          <w:tcPr>
            <w:tcW w:w="4108" w:type="dxa"/>
            <w:gridSpan w:val="5"/>
            <w:tcBorders>
              <w:bottom w:val="single" w:color="000000" w:sz="4" w:space="0"/>
            </w:tcBorders>
            <w:tcMar>
              <w:top w:w="15" w:type="dxa"/>
              <w:left w:w="15" w:type="dxa"/>
              <w:bottom w:w="0" w:type="dxa"/>
              <w:right w:w="15" w:type="dxa"/>
            </w:tcMar>
            <w:vAlign w:val="center"/>
          </w:tcPr>
          <w:p w14:paraId="2E5A7CA1">
            <w:pPr>
              <w:widowControl/>
              <w:spacing w:line="400" w:lineRule="exact"/>
              <w:textAlignment w:val="center"/>
              <w:rPr>
                <w:rFonts w:ascii="宋体" w:hAnsi="宋体" w:cs="宋体"/>
                <w:color w:val="000000"/>
                <w:sz w:val="24"/>
              </w:rPr>
            </w:pPr>
            <w:r>
              <w:rPr>
                <w:rFonts w:hint="eastAsia" w:ascii="宋体" w:hAnsi="宋体" w:cs="宋体"/>
                <w:sz w:val="24"/>
              </w:rPr>
              <w:t>完成招商引资签约300亿，引进项目50个。</w:t>
            </w:r>
          </w:p>
        </w:tc>
        <w:tc>
          <w:tcPr>
            <w:tcW w:w="4424" w:type="dxa"/>
            <w:gridSpan w:val="2"/>
            <w:tcBorders>
              <w:bottom w:val="single" w:color="000000" w:sz="4" w:space="0"/>
            </w:tcBorders>
            <w:tcMar>
              <w:top w:w="15" w:type="dxa"/>
              <w:left w:w="15" w:type="dxa"/>
              <w:bottom w:w="0" w:type="dxa"/>
              <w:right w:w="15" w:type="dxa"/>
            </w:tcMar>
            <w:vAlign w:val="center"/>
          </w:tcPr>
          <w:p w14:paraId="0812C576">
            <w:pPr>
              <w:spacing w:line="400" w:lineRule="exact"/>
              <w:rPr>
                <w:rFonts w:ascii="宋体" w:hAnsi="宋体" w:cs="宋体"/>
                <w:color w:val="000000" w:themeColor="text1"/>
                <w:sz w:val="24"/>
              </w:rPr>
            </w:pPr>
            <w:r>
              <w:rPr>
                <w:rFonts w:hint="eastAsia" w:ascii="宋体" w:hAnsi="宋体" w:cs="宋体"/>
                <w:color w:val="000000" w:themeColor="text1"/>
                <w:sz w:val="24"/>
              </w:rPr>
              <w:t>完成全年全区招商引资工作。</w:t>
            </w:r>
          </w:p>
          <w:p w14:paraId="2A65699D">
            <w:pPr>
              <w:spacing w:line="400" w:lineRule="exact"/>
              <w:rPr>
                <w:rFonts w:ascii="宋体" w:hAnsi="宋体" w:cs="宋体"/>
                <w:color w:val="000000"/>
                <w:sz w:val="24"/>
              </w:rPr>
            </w:pPr>
          </w:p>
        </w:tc>
      </w:tr>
      <w:tr w14:paraId="2F618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805" w:type="dxa"/>
            <w:vMerge w:val="restart"/>
            <w:tcMar>
              <w:top w:w="15" w:type="dxa"/>
              <w:left w:w="15" w:type="dxa"/>
              <w:bottom w:w="0" w:type="dxa"/>
              <w:right w:w="15" w:type="dxa"/>
            </w:tcMar>
            <w:vAlign w:val="center"/>
          </w:tcPr>
          <w:p w14:paraId="3A6B6344">
            <w:pPr>
              <w:widowControl/>
              <w:spacing w:line="400" w:lineRule="exact"/>
              <w:textAlignment w:val="center"/>
              <w:rPr>
                <w:rFonts w:ascii="宋体" w:hAnsi="宋体" w:cs="宋体"/>
                <w:color w:val="000000"/>
                <w:sz w:val="24"/>
              </w:rPr>
            </w:pPr>
            <w:r>
              <w:rPr>
                <w:rFonts w:hint="eastAsia" w:ascii="宋体" w:hAnsi="宋体" w:cs="宋体"/>
                <w:color w:val="000000"/>
                <w:sz w:val="24"/>
              </w:rPr>
              <w:t>绩效指标完成情况</w:t>
            </w:r>
          </w:p>
        </w:tc>
        <w:tc>
          <w:tcPr>
            <w:tcW w:w="952" w:type="dxa"/>
            <w:gridSpan w:val="2"/>
            <w:tcMar>
              <w:top w:w="15" w:type="dxa"/>
              <w:left w:w="15" w:type="dxa"/>
              <w:bottom w:w="0" w:type="dxa"/>
              <w:right w:w="15" w:type="dxa"/>
            </w:tcMar>
            <w:vAlign w:val="center"/>
          </w:tcPr>
          <w:p w14:paraId="463BEB18">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gridSpan w:val="2"/>
            <w:tcMar>
              <w:top w:w="15" w:type="dxa"/>
              <w:left w:w="15" w:type="dxa"/>
              <w:bottom w:w="0" w:type="dxa"/>
              <w:right w:w="15" w:type="dxa"/>
            </w:tcMar>
            <w:vAlign w:val="center"/>
          </w:tcPr>
          <w:p w14:paraId="3A0FF857">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二级指标</w:t>
            </w:r>
          </w:p>
        </w:tc>
        <w:tc>
          <w:tcPr>
            <w:tcW w:w="2131" w:type="dxa"/>
            <w:tcMar>
              <w:top w:w="15" w:type="dxa"/>
              <w:left w:w="15" w:type="dxa"/>
              <w:bottom w:w="0" w:type="dxa"/>
              <w:right w:w="15" w:type="dxa"/>
            </w:tcMar>
            <w:vAlign w:val="center"/>
          </w:tcPr>
          <w:p w14:paraId="0761E259">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三级指标</w:t>
            </w:r>
          </w:p>
        </w:tc>
        <w:tc>
          <w:tcPr>
            <w:tcW w:w="2212" w:type="dxa"/>
            <w:tcMar>
              <w:top w:w="15" w:type="dxa"/>
              <w:left w:w="15" w:type="dxa"/>
              <w:bottom w:w="0" w:type="dxa"/>
              <w:right w:w="15" w:type="dxa"/>
            </w:tcMar>
            <w:vAlign w:val="center"/>
          </w:tcPr>
          <w:p w14:paraId="4A2EA0C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212" w:type="dxa"/>
            <w:tcMar>
              <w:top w:w="15" w:type="dxa"/>
              <w:left w:w="15" w:type="dxa"/>
              <w:bottom w:w="0" w:type="dxa"/>
              <w:right w:w="15" w:type="dxa"/>
            </w:tcMar>
            <w:vAlign w:val="center"/>
          </w:tcPr>
          <w:p w14:paraId="18710A33">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65491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805" w:type="dxa"/>
            <w:vMerge w:val="continue"/>
            <w:vAlign w:val="center"/>
          </w:tcPr>
          <w:p w14:paraId="226D61FC">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47D31D7A">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61B0A58D">
            <w:pPr>
              <w:widowControl/>
              <w:spacing w:line="400" w:lineRule="exact"/>
              <w:textAlignment w:val="center"/>
              <w:rPr>
                <w:rFonts w:ascii="宋体" w:hAnsi="宋体" w:cs="宋体"/>
                <w:color w:val="000000"/>
                <w:sz w:val="24"/>
              </w:rPr>
            </w:pPr>
            <w:r>
              <w:rPr>
                <w:rFonts w:hint="eastAsia" w:ascii="宋体" w:hAnsi="宋体" w:cs="宋体"/>
                <w:color w:val="000000"/>
                <w:sz w:val="24"/>
              </w:rPr>
              <w:t>数量指标</w:t>
            </w:r>
          </w:p>
        </w:tc>
        <w:tc>
          <w:tcPr>
            <w:tcW w:w="2131" w:type="dxa"/>
            <w:tcMar>
              <w:top w:w="15" w:type="dxa"/>
              <w:left w:w="15" w:type="dxa"/>
              <w:bottom w:w="0" w:type="dxa"/>
              <w:right w:w="15" w:type="dxa"/>
            </w:tcMar>
            <w:vAlign w:val="center"/>
          </w:tcPr>
          <w:p w14:paraId="76BEA0B2">
            <w:pPr>
              <w:widowControl/>
              <w:spacing w:line="400" w:lineRule="exact"/>
              <w:textAlignment w:val="center"/>
              <w:rPr>
                <w:rFonts w:ascii="宋体" w:hAnsi="宋体" w:cs="宋体"/>
                <w:color w:val="000000"/>
                <w:sz w:val="24"/>
              </w:rPr>
            </w:pPr>
            <w:r>
              <w:rPr>
                <w:rFonts w:hint="eastAsia"/>
                <w:sz w:val="24"/>
              </w:rPr>
              <w:t>招商引资签约</w:t>
            </w:r>
          </w:p>
        </w:tc>
        <w:tc>
          <w:tcPr>
            <w:tcW w:w="2212" w:type="dxa"/>
            <w:tcMar>
              <w:top w:w="15" w:type="dxa"/>
              <w:left w:w="15" w:type="dxa"/>
              <w:bottom w:w="0" w:type="dxa"/>
              <w:right w:w="15" w:type="dxa"/>
            </w:tcMar>
            <w:vAlign w:val="center"/>
          </w:tcPr>
          <w:p w14:paraId="3373488F">
            <w:pPr>
              <w:spacing w:line="400" w:lineRule="exact"/>
              <w:rPr>
                <w:rFonts w:ascii="宋体" w:hAnsi="宋体" w:cs="宋体"/>
                <w:color w:val="000000"/>
                <w:sz w:val="24"/>
              </w:rPr>
            </w:pPr>
            <w:r>
              <w:rPr>
                <w:rFonts w:hint="eastAsia" w:ascii="宋体" w:hAnsi="宋体" w:cs="宋体"/>
                <w:color w:val="000000"/>
                <w:sz w:val="24"/>
              </w:rPr>
              <w:t>300亿</w:t>
            </w:r>
          </w:p>
        </w:tc>
        <w:tc>
          <w:tcPr>
            <w:tcW w:w="2212" w:type="dxa"/>
            <w:tcMar>
              <w:top w:w="15" w:type="dxa"/>
              <w:left w:w="15" w:type="dxa"/>
              <w:bottom w:w="0" w:type="dxa"/>
              <w:right w:w="15" w:type="dxa"/>
            </w:tcMar>
            <w:vAlign w:val="center"/>
          </w:tcPr>
          <w:p w14:paraId="73D2ACB4">
            <w:pPr>
              <w:spacing w:line="400" w:lineRule="exact"/>
              <w:rPr>
                <w:rFonts w:ascii="宋体" w:hAnsi="宋体" w:cs="宋体"/>
                <w:color w:val="000000" w:themeColor="text1"/>
                <w:sz w:val="24"/>
              </w:rPr>
            </w:pPr>
            <w:r>
              <w:rPr>
                <w:rFonts w:hint="eastAsia" w:ascii="宋体" w:hAnsi="宋体" w:cs="宋体"/>
                <w:color w:val="000000" w:themeColor="text1"/>
                <w:sz w:val="24"/>
              </w:rPr>
              <w:t>完成市上下达的目标任务</w:t>
            </w:r>
          </w:p>
        </w:tc>
      </w:tr>
      <w:tr w14:paraId="4D045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805" w:type="dxa"/>
            <w:vMerge w:val="continue"/>
            <w:vAlign w:val="center"/>
          </w:tcPr>
          <w:p w14:paraId="324886B9">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03B0A5EB">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269ECBD1">
            <w:pPr>
              <w:widowControl/>
              <w:spacing w:line="400" w:lineRule="exact"/>
              <w:textAlignment w:val="center"/>
              <w:rPr>
                <w:rFonts w:ascii="宋体" w:hAnsi="宋体" w:cs="宋体"/>
                <w:color w:val="000000"/>
                <w:sz w:val="24"/>
              </w:rPr>
            </w:pPr>
            <w:r>
              <w:rPr>
                <w:rFonts w:hint="eastAsia" w:ascii="宋体" w:hAnsi="宋体" w:cs="宋体"/>
                <w:color w:val="000000"/>
                <w:sz w:val="24"/>
              </w:rPr>
              <w:t>数量指标</w:t>
            </w:r>
          </w:p>
        </w:tc>
        <w:tc>
          <w:tcPr>
            <w:tcW w:w="2131" w:type="dxa"/>
            <w:tcMar>
              <w:top w:w="15" w:type="dxa"/>
              <w:left w:w="15" w:type="dxa"/>
              <w:bottom w:w="0" w:type="dxa"/>
              <w:right w:w="15" w:type="dxa"/>
            </w:tcMar>
            <w:vAlign w:val="center"/>
          </w:tcPr>
          <w:p w14:paraId="534752D1">
            <w:pPr>
              <w:spacing w:line="400" w:lineRule="exact"/>
              <w:rPr>
                <w:rFonts w:ascii="宋体" w:hAnsi="宋体" w:cs="宋体"/>
                <w:color w:val="000000"/>
                <w:sz w:val="24"/>
              </w:rPr>
            </w:pPr>
            <w:r>
              <w:rPr>
                <w:rFonts w:hint="eastAsia" w:ascii="宋体" w:hAnsi="宋体" w:cs="宋体"/>
                <w:color w:val="000000"/>
                <w:sz w:val="24"/>
              </w:rPr>
              <w:t>引进项目</w:t>
            </w:r>
          </w:p>
        </w:tc>
        <w:tc>
          <w:tcPr>
            <w:tcW w:w="2212" w:type="dxa"/>
            <w:tcMar>
              <w:top w:w="15" w:type="dxa"/>
              <w:left w:w="15" w:type="dxa"/>
              <w:bottom w:w="0" w:type="dxa"/>
              <w:right w:w="15" w:type="dxa"/>
            </w:tcMar>
            <w:vAlign w:val="center"/>
          </w:tcPr>
          <w:p w14:paraId="39B4A0A3">
            <w:pPr>
              <w:spacing w:line="400" w:lineRule="exact"/>
              <w:rPr>
                <w:rFonts w:ascii="宋体" w:hAnsi="宋体" w:cs="宋体"/>
                <w:color w:val="000000"/>
                <w:sz w:val="24"/>
              </w:rPr>
            </w:pPr>
            <w:r>
              <w:rPr>
                <w:rFonts w:hint="eastAsia" w:ascii="宋体" w:hAnsi="宋体" w:cs="宋体"/>
                <w:sz w:val="24"/>
              </w:rPr>
              <w:t>50个</w:t>
            </w:r>
          </w:p>
        </w:tc>
        <w:tc>
          <w:tcPr>
            <w:tcW w:w="2212" w:type="dxa"/>
            <w:tcMar>
              <w:top w:w="15" w:type="dxa"/>
              <w:left w:w="15" w:type="dxa"/>
              <w:bottom w:w="0" w:type="dxa"/>
              <w:right w:w="15" w:type="dxa"/>
            </w:tcMar>
            <w:vAlign w:val="center"/>
          </w:tcPr>
          <w:p w14:paraId="52A8130A">
            <w:pPr>
              <w:spacing w:line="400" w:lineRule="exact"/>
              <w:rPr>
                <w:rFonts w:ascii="宋体" w:hAnsi="宋体" w:cs="宋体"/>
                <w:color w:val="000000" w:themeColor="text1"/>
                <w:sz w:val="24"/>
              </w:rPr>
            </w:pPr>
            <w:r>
              <w:rPr>
                <w:rFonts w:hint="eastAsia" w:ascii="宋体" w:hAnsi="宋体" w:cs="宋体"/>
                <w:color w:val="000000" w:themeColor="text1"/>
                <w:sz w:val="24"/>
              </w:rPr>
              <w:t>完成</w:t>
            </w:r>
          </w:p>
        </w:tc>
      </w:tr>
      <w:tr w14:paraId="6ECF0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805" w:type="dxa"/>
            <w:vMerge w:val="continue"/>
            <w:vAlign w:val="center"/>
          </w:tcPr>
          <w:p w14:paraId="4B9A9BFD">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0FD6CE6F">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12EDC507">
            <w:pPr>
              <w:widowControl/>
              <w:spacing w:line="400" w:lineRule="exact"/>
              <w:textAlignment w:val="center"/>
              <w:rPr>
                <w:rFonts w:ascii="宋体" w:hAnsi="宋体" w:cs="宋体"/>
                <w:color w:val="000000"/>
                <w:sz w:val="24"/>
              </w:rPr>
            </w:pPr>
            <w:r>
              <w:rPr>
                <w:rFonts w:hint="eastAsia" w:ascii="宋体" w:hAnsi="宋体" w:cs="宋体"/>
                <w:color w:val="000000"/>
                <w:sz w:val="24"/>
              </w:rPr>
              <w:t>质量指标</w:t>
            </w:r>
          </w:p>
        </w:tc>
        <w:tc>
          <w:tcPr>
            <w:tcW w:w="2131" w:type="dxa"/>
            <w:tcMar>
              <w:top w:w="15" w:type="dxa"/>
              <w:left w:w="15" w:type="dxa"/>
              <w:bottom w:w="0" w:type="dxa"/>
              <w:right w:w="15" w:type="dxa"/>
            </w:tcMar>
            <w:vAlign w:val="center"/>
          </w:tcPr>
          <w:p w14:paraId="2894685A">
            <w:pPr>
              <w:widowControl/>
              <w:spacing w:line="400" w:lineRule="exact"/>
              <w:textAlignment w:val="center"/>
              <w:rPr>
                <w:rFonts w:ascii="宋体" w:hAnsi="宋体" w:cs="宋体"/>
                <w:color w:val="000000"/>
                <w:sz w:val="24"/>
              </w:rPr>
            </w:pPr>
            <w:r>
              <w:rPr>
                <w:rFonts w:hint="eastAsia" w:ascii="宋体" w:hAnsi="宋体" w:cs="宋体"/>
                <w:color w:val="000000"/>
                <w:sz w:val="24"/>
              </w:rPr>
              <w:t>项目招商工作</w:t>
            </w:r>
          </w:p>
        </w:tc>
        <w:tc>
          <w:tcPr>
            <w:tcW w:w="2212" w:type="dxa"/>
            <w:tcMar>
              <w:top w:w="15" w:type="dxa"/>
              <w:left w:w="15" w:type="dxa"/>
              <w:bottom w:w="0" w:type="dxa"/>
              <w:right w:w="15" w:type="dxa"/>
            </w:tcMar>
            <w:vAlign w:val="center"/>
          </w:tcPr>
          <w:p w14:paraId="7AB0F87E">
            <w:pPr>
              <w:spacing w:line="400" w:lineRule="exact"/>
              <w:rPr>
                <w:rFonts w:ascii="宋体" w:hAnsi="宋体" w:cs="宋体"/>
                <w:color w:val="000000"/>
                <w:sz w:val="24"/>
              </w:rPr>
            </w:pPr>
            <w:r>
              <w:rPr>
                <w:rFonts w:hint="eastAsia" w:ascii="宋体" w:hAnsi="宋体" w:cs="宋体"/>
                <w:color w:val="000000"/>
                <w:sz w:val="24"/>
              </w:rPr>
              <w:t>无差错、高质量</w:t>
            </w:r>
          </w:p>
        </w:tc>
        <w:tc>
          <w:tcPr>
            <w:tcW w:w="2212" w:type="dxa"/>
            <w:tcMar>
              <w:top w:w="15" w:type="dxa"/>
              <w:left w:w="15" w:type="dxa"/>
              <w:bottom w:w="0" w:type="dxa"/>
              <w:right w:w="15" w:type="dxa"/>
            </w:tcMar>
            <w:vAlign w:val="center"/>
          </w:tcPr>
          <w:p w14:paraId="5F554B68">
            <w:pPr>
              <w:spacing w:line="400" w:lineRule="exact"/>
              <w:rPr>
                <w:rFonts w:ascii="宋体" w:hAnsi="宋体" w:cs="宋体"/>
                <w:color w:val="000000"/>
                <w:sz w:val="24"/>
              </w:rPr>
            </w:pPr>
            <w:r>
              <w:rPr>
                <w:rFonts w:hint="eastAsia" w:ascii="宋体" w:hAnsi="宋体" w:cs="宋体"/>
                <w:color w:val="000000"/>
                <w:sz w:val="24"/>
              </w:rPr>
              <w:t>无差错、高质量</w:t>
            </w:r>
          </w:p>
        </w:tc>
      </w:tr>
      <w:tr w14:paraId="371A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805" w:type="dxa"/>
            <w:vMerge w:val="continue"/>
            <w:vAlign w:val="center"/>
          </w:tcPr>
          <w:p w14:paraId="219F9413">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1629A548">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4ED44F18">
            <w:pPr>
              <w:widowControl/>
              <w:spacing w:line="400" w:lineRule="exact"/>
              <w:textAlignment w:val="center"/>
              <w:rPr>
                <w:rFonts w:ascii="宋体" w:hAnsi="宋体" w:cs="宋体"/>
                <w:color w:val="000000"/>
                <w:sz w:val="24"/>
              </w:rPr>
            </w:pPr>
            <w:r>
              <w:rPr>
                <w:rFonts w:hint="eastAsia" w:ascii="宋体" w:hAnsi="宋体" w:cs="宋体"/>
                <w:color w:val="000000"/>
                <w:sz w:val="24"/>
              </w:rPr>
              <w:t>成本指标</w:t>
            </w:r>
          </w:p>
        </w:tc>
        <w:tc>
          <w:tcPr>
            <w:tcW w:w="2131" w:type="dxa"/>
            <w:tcMar>
              <w:top w:w="15" w:type="dxa"/>
              <w:left w:w="15" w:type="dxa"/>
              <w:bottom w:w="0" w:type="dxa"/>
              <w:right w:w="15" w:type="dxa"/>
            </w:tcMar>
            <w:vAlign w:val="center"/>
          </w:tcPr>
          <w:p w14:paraId="58DC11FA">
            <w:pPr>
              <w:widowControl/>
              <w:spacing w:line="400" w:lineRule="exact"/>
              <w:textAlignment w:val="center"/>
              <w:rPr>
                <w:rFonts w:ascii="宋体" w:hAnsi="宋体" w:cs="宋体"/>
                <w:color w:val="000000"/>
                <w:sz w:val="24"/>
              </w:rPr>
            </w:pPr>
            <w:r>
              <w:rPr>
                <w:rFonts w:hint="eastAsia" w:ascii="宋体" w:hAnsi="宋体" w:cs="宋体"/>
                <w:color w:val="000000"/>
                <w:sz w:val="24"/>
              </w:rPr>
              <w:t>招商引资年度成本</w:t>
            </w:r>
          </w:p>
        </w:tc>
        <w:tc>
          <w:tcPr>
            <w:tcW w:w="2212" w:type="dxa"/>
            <w:tcMar>
              <w:top w:w="15" w:type="dxa"/>
              <w:left w:w="15" w:type="dxa"/>
              <w:bottom w:w="0" w:type="dxa"/>
              <w:right w:w="15" w:type="dxa"/>
            </w:tcMar>
            <w:vAlign w:val="center"/>
          </w:tcPr>
          <w:p w14:paraId="3F9B93F8">
            <w:pPr>
              <w:widowControl/>
              <w:spacing w:line="400" w:lineRule="exact"/>
              <w:textAlignment w:val="center"/>
              <w:rPr>
                <w:rFonts w:ascii="宋体" w:hAnsi="宋体" w:cs="宋体"/>
                <w:color w:val="000000"/>
                <w:sz w:val="24"/>
              </w:rPr>
            </w:pPr>
            <w:r>
              <w:rPr>
                <w:rFonts w:hint="eastAsia" w:ascii="宋体" w:hAnsi="宋体" w:cs="宋体"/>
                <w:color w:val="000000"/>
                <w:sz w:val="24"/>
              </w:rPr>
              <w:t>100万内</w:t>
            </w:r>
          </w:p>
        </w:tc>
        <w:tc>
          <w:tcPr>
            <w:tcW w:w="2212" w:type="dxa"/>
            <w:tcMar>
              <w:top w:w="15" w:type="dxa"/>
              <w:left w:w="15" w:type="dxa"/>
              <w:bottom w:w="0" w:type="dxa"/>
              <w:right w:w="15" w:type="dxa"/>
            </w:tcMar>
            <w:vAlign w:val="center"/>
          </w:tcPr>
          <w:p w14:paraId="6C3AB88B">
            <w:pPr>
              <w:widowControl/>
              <w:spacing w:line="400" w:lineRule="exact"/>
              <w:textAlignment w:val="center"/>
              <w:rPr>
                <w:rFonts w:ascii="宋体" w:hAnsi="宋体" w:cs="宋体"/>
                <w:color w:val="000000"/>
                <w:sz w:val="24"/>
              </w:rPr>
            </w:pPr>
            <w:r>
              <w:rPr>
                <w:rFonts w:hint="eastAsia" w:ascii="宋体" w:hAnsi="宋体" w:cs="宋体"/>
                <w:color w:val="000000"/>
                <w:sz w:val="24"/>
              </w:rPr>
              <w:t>75.47万元</w:t>
            </w:r>
          </w:p>
        </w:tc>
      </w:tr>
      <w:tr w14:paraId="1F877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805" w:type="dxa"/>
            <w:vMerge w:val="continue"/>
            <w:vAlign w:val="center"/>
          </w:tcPr>
          <w:p w14:paraId="1F63D09B">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582F6DEA">
            <w:pPr>
              <w:widowControl/>
              <w:spacing w:line="400" w:lineRule="exact"/>
              <w:textAlignment w:val="center"/>
              <w:rPr>
                <w:rFonts w:ascii="宋体" w:hAnsi="宋体" w:cs="宋体"/>
                <w:color w:val="000000"/>
                <w:kern w:val="0"/>
                <w:sz w:val="24"/>
              </w:rPr>
            </w:pPr>
            <w:r>
              <w:rPr>
                <w:rFonts w:hint="eastAsia" w:ascii="宋体" w:hAnsi="宋体" w:cs="宋体"/>
                <w:color w:val="000000"/>
                <w:kern w:val="0"/>
                <w:sz w:val="24"/>
              </w:rPr>
              <w:t>经济效益</w:t>
            </w:r>
          </w:p>
          <w:p w14:paraId="0B363AC5">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指标</w:t>
            </w:r>
          </w:p>
        </w:tc>
        <w:tc>
          <w:tcPr>
            <w:tcW w:w="1025" w:type="dxa"/>
            <w:gridSpan w:val="2"/>
            <w:tcMar>
              <w:top w:w="15" w:type="dxa"/>
              <w:left w:w="15" w:type="dxa"/>
              <w:bottom w:w="0" w:type="dxa"/>
              <w:right w:w="15" w:type="dxa"/>
            </w:tcMar>
            <w:vAlign w:val="center"/>
          </w:tcPr>
          <w:p w14:paraId="519AFD2B">
            <w:pPr>
              <w:widowControl/>
              <w:spacing w:line="400" w:lineRule="exact"/>
              <w:textAlignment w:val="center"/>
              <w:rPr>
                <w:rFonts w:ascii="宋体" w:hAnsi="宋体" w:cs="宋体"/>
                <w:color w:val="000000"/>
                <w:kern w:val="0"/>
                <w:sz w:val="24"/>
              </w:rPr>
            </w:pPr>
            <w:r>
              <w:rPr>
                <w:rFonts w:hint="eastAsia" w:ascii="宋体" w:hAnsi="宋体" w:cs="宋体"/>
                <w:color w:val="000000"/>
                <w:kern w:val="0"/>
                <w:sz w:val="24"/>
              </w:rPr>
              <w:t>经济效益</w:t>
            </w:r>
          </w:p>
          <w:p w14:paraId="4745D5FD">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指标</w:t>
            </w:r>
          </w:p>
        </w:tc>
        <w:tc>
          <w:tcPr>
            <w:tcW w:w="2131" w:type="dxa"/>
            <w:tcMar>
              <w:top w:w="15" w:type="dxa"/>
              <w:left w:w="15" w:type="dxa"/>
              <w:bottom w:w="0" w:type="dxa"/>
              <w:right w:w="15" w:type="dxa"/>
            </w:tcMar>
            <w:vAlign w:val="center"/>
          </w:tcPr>
          <w:p w14:paraId="776C2A6D">
            <w:pPr>
              <w:widowControl/>
              <w:spacing w:line="400" w:lineRule="exact"/>
              <w:textAlignment w:val="center"/>
              <w:rPr>
                <w:rFonts w:ascii="宋体" w:hAnsi="宋体" w:cs="宋体"/>
                <w:color w:val="000000"/>
                <w:sz w:val="24"/>
              </w:rPr>
            </w:pPr>
            <w:r>
              <w:rPr>
                <w:rFonts w:hint="eastAsia" w:ascii="宋体" w:hAnsi="宋体" w:cs="宋体"/>
                <w:color w:val="000000"/>
                <w:sz w:val="24"/>
              </w:rPr>
              <w:t>招商项目落地建设</w:t>
            </w:r>
          </w:p>
        </w:tc>
        <w:tc>
          <w:tcPr>
            <w:tcW w:w="2212" w:type="dxa"/>
            <w:tcMar>
              <w:top w:w="15" w:type="dxa"/>
              <w:left w:w="15" w:type="dxa"/>
              <w:bottom w:w="0" w:type="dxa"/>
              <w:right w:w="15" w:type="dxa"/>
            </w:tcMar>
            <w:vAlign w:val="center"/>
          </w:tcPr>
          <w:p w14:paraId="7A705844">
            <w:pPr>
              <w:widowControl/>
              <w:spacing w:line="400" w:lineRule="exact"/>
              <w:textAlignment w:val="center"/>
              <w:rPr>
                <w:rFonts w:ascii="宋体" w:hAnsi="宋体" w:cs="宋体"/>
                <w:color w:val="000000"/>
                <w:sz w:val="24"/>
              </w:rPr>
            </w:pPr>
            <w:r>
              <w:rPr>
                <w:rFonts w:hint="eastAsia" w:ascii="宋体" w:hAnsi="宋体" w:cs="宋体"/>
                <w:color w:val="000000"/>
                <w:sz w:val="24"/>
              </w:rPr>
              <w:t>招引入驻项目20个以上；引进数字经济项目20个以上；园中园招商引进项目10个以上；引进飞地产业项目10个以上。</w:t>
            </w:r>
          </w:p>
        </w:tc>
        <w:tc>
          <w:tcPr>
            <w:tcW w:w="2212" w:type="dxa"/>
            <w:tcMar>
              <w:top w:w="15" w:type="dxa"/>
              <w:left w:w="15" w:type="dxa"/>
              <w:bottom w:w="0" w:type="dxa"/>
              <w:right w:w="15" w:type="dxa"/>
            </w:tcMar>
            <w:vAlign w:val="center"/>
          </w:tcPr>
          <w:p w14:paraId="0A5D0D5D">
            <w:pPr>
              <w:widowControl/>
              <w:spacing w:line="400" w:lineRule="exact"/>
              <w:textAlignment w:val="center"/>
              <w:rPr>
                <w:rFonts w:ascii="宋体" w:hAnsi="宋体" w:cs="宋体"/>
                <w:color w:val="000000"/>
                <w:sz w:val="24"/>
              </w:rPr>
            </w:pPr>
            <w:r>
              <w:rPr>
                <w:rFonts w:hint="eastAsia" w:ascii="宋体" w:hAnsi="宋体" w:cs="宋体"/>
                <w:color w:val="000000"/>
                <w:sz w:val="24"/>
              </w:rPr>
              <w:t>全年全区签约引进项目27个；签约总部经济项目22个；签约数字经济项目14个。</w:t>
            </w:r>
          </w:p>
        </w:tc>
      </w:tr>
      <w:tr w14:paraId="2E5F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05" w:type="dxa"/>
            <w:vMerge w:val="continue"/>
            <w:tcBorders>
              <w:bottom w:val="single" w:color="000000" w:sz="4" w:space="0"/>
            </w:tcBorders>
            <w:vAlign w:val="center"/>
          </w:tcPr>
          <w:p w14:paraId="598DC537">
            <w:pPr>
              <w:widowControl/>
              <w:spacing w:line="400" w:lineRule="exact"/>
              <w:rPr>
                <w:rFonts w:ascii="宋体" w:hAnsi="宋体" w:cs="宋体"/>
                <w:color w:val="000000"/>
                <w:sz w:val="24"/>
              </w:rPr>
            </w:pPr>
          </w:p>
        </w:tc>
        <w:tc>
          <w:tcPr>
            <w:tcW w:w="952" w:type="dxa"/>
            <w:gridSpan w:val="2"/>
            <w:tcBorders>
              <w:bottom w:val="single" w:color="000000" w:sz="4" w:space="0"/>
            </w:tcBorders>
            <w:tcMar>
              <w:top w:w="15" w:type="dxa"/>
              <w:left w:w="15" w:type="dxa"/>
              <w:bottom w:w="0" w:type="dxa"/>
              <w:right w:w="15" w:type="dxa"/>
            </w:tcMar>
            <w:vAlign w:val="center"/>
          </w:tcPr>
          <w:p w14:paraId="5DA97C9A">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gridSpan w:val="2"/>
            <w:tcBorders>
              <w:bottom w:val="single" w:color="000000" w:sz="4" w:space="0"/>
            </w:tcBorders>
            <w:tcMar>
              <w:top w:w="15" w:type="dxa"/>
              <w:left w:w="15" w:type="dxa"/>
              <w:bottom w:w="0" w:type="dxa"/>
              <w:right w:w="15" w:type="dxa"/>
            </w:tcMar>
            <w:vAlign w:val="center"/>
          </w:tcPr>
          <w:p w14:paraId="1532C70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满意度指标</w:t>
            </w:r>
          </w:p>
        </w:tc>
        <w:tc>
          <w:tcPr>
            <w:tcW w:w="2131" w:type="dxa"/>
            <w:tcBorders>
              <w:bottom w:val="single" w:color="000000" w:sz="4" w:space="0"/>
            </w:tcBorders>
            <w:tcMar>
              <w:top w:w="15" w:type="dxa"/>
              <w:left w:w="15" w:type="dxa"/>
              <w:bottom w:w="0" w:type="dxa"/>
              <w:right w:w="15" w:type="dxa"/>
            </w:tcMar>
            <w:vAlign w:val="center"/>
          </w:tcPr>
          <w:p w14:paraId="68981506">
            <w:pPr>
              <w:widowControl/>
              <w:spacing w:line="400" w:lineRule="exact"/>
              <w:textAlignment w:val="center"/>
              <w:rPr>
                <w:rFonts w:ascii="宋体" w:hAnsi="宋体" w:cs="宋体"/>
                <w:color w:val="000000"/>
                <w:sz w:val="24"/>
              </w:rPr>
            </w:pPr>
          </w:p>
        </w:tc>
        <w:tc>
          <w:tcPr>
            <w:tcW w:w="2212" w:type="dxa"/>
            <w:tcBorders>
              <w:bottom w:val="single" w:color="000000" w:sz="4" w:space="0"/>
            </w:tcBorders>
            <w:tcMar>
              <w:top w:w="15" w:type="dxa"/>
              <w:left w:w="15" w:type="dxa"/>
              <w:bottom w:w="0" w:type="dxa"/>
              <w:right w:w="15" w:type="dxa"/>
            </w:tcMar>
            <w:vAlign w:val="center"/>
          </w:tcPr>
          <w:p w14:paraId="3175980A">
            <w:pPr>
              <w:spacing w:line="400" w:lineRule="exact"/>
              <w:rPr>
                <w:rFonts w:ascii="宋体" w:hAnsi="宋体" w:cs="宋体"/>
                <w:color w:val="000000"/>
                <w:sz w:val="24"/>
              </w:rPr>
            </w:pPr>
          </w:p>
        </w:tc>
        <w:tc>
          <w:tcPr>
            <w:tcW w:w="2212" w:type="dxa"/>
            <w:tcBorders>
              <w:bottom w:val="single" w:color="000000" w:sz="4" w:space="0"/>
            </w:tcBorders>
            <w:tcMar>
              <w:top w:w="15" w:type="dxa"/>
              <w:left w:w="15" w:type="dxa"/>
              <w:bottom w:w="0" w:type="dxa"/>
              <w:right w:w="15" w:type="dxa"/>
            </w:tcMar>
            <w:vAlign w:val="center"/>
          </w:tcPr>
          <w:p w14:paraId="1984A726">
            <w:pPr>
              <w:spacing w:line="400" w:lineRule="exact"/>
              <w:ind w:firstLine="1062" w:firstLineChars="450"/>
              <w:rPr>
                <w:rFonts w:ascii="宋体" w:hAnsi="宋体" w:cs="宋体"/>
                <w:color w:val="000000"/>
                <w:sz w:val="24"/>
              </w:rPr>
            </w:pPr>
          </w:p>
        </w:tc>
      </w:tr>
      <w:tr w14:paraId="40AA9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9337" w:type="dxa"/>
            <w:gridSpan w:val="8"/>
            <w:tcBorders>
              <w:top w:val="single" w:color="000000" w:sz="4" w:space="0"/>
              <w:left w:val="nil"/>
              <w:bottom w:val="nil"/>
              <w:right w:val="nil"/>
            </w:tcBorders>
            <w:tcMar>
              <w:top w:w="15" w:type="dxa"/>
              <w:left w:w="15" w:type="dxa"/>
              <w:bottom w:w="0" w:type="dxa"/>
              <w:right w:w="15" w:type="dxa"/>
            </w:tcMar>
            <w:vAlign w:val="center"/>
          </w:tcPr>
          <w:p w14:paraId="2DB2DA39">
            <w:pPr>
              <w:pStyle w:val="24"/>
              <w:widowControl/>
              <w:spacing w:line="400" w:lineRule="exact"/>
              <w:ind w:left="5546" w:leftChars="1310" w:hanging="1407" w:hangingChars="395"/>
              <w:textAlignment w:val="center"/>
              <w:rPr>
                <w:rFonts w:ascii="宋体" w:hAnsi="宋体" w:cs="宋体"/>
                <w:color w:val="000000"/>
                <w:sz w:val="36"/>
                <w:szCs w:val="36"/>
              </w:rPr>
            </w:pPr>
          </w:p>
        </w:tc>
      </w:tr>
      <w:tr w14:paraId="483D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9337" w:type="dxa"/>
            <w:gridSpan w:val="8"/>
            <w:tcBorders>
              <w:top w:val="nil"/>
              <w:left w:val="nil"/>
              <w:bottom w:val="nil"/>
              <w:right w:val="nil"/>
            </w:tcBorders>
            <w:tcMar>
              <w:top w:w="15" w:type="dxa"/>
              <w:left w:w="15" w:type="dxa"/>
              <w:bottom w:w="0" w:type="dxa"/>
              <w:right w:w="15" w:type="dxa"/>
            </w:tcMar>
            <w:vAlign w:val="center"/>
          </w:tcPr>
          <w:p w14:paraId="6027A1C4">
            <w:pPr>
              <w:widowControl/>
              <w:spacing w:line="400" w:lineRule="exact"/>
              <w:textAlignment w:val="center"/>
              <w:rPr>
                <w:rFonts w:ascii="宋体" w:hAnsi="宋体" w:cs="宋体"/>
                <w:color w:val="000000"/>
                <w:sz w:val="36"/>
                <w:szCs w:val="36"/>
              </w:rPr>
            </w:pPr>
          </w:p>
        </w:tc>
      </w:tr>
      <w:tr w14:paraId="4FC0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9337" w:type="dxa"/>
            <w:gridSpan w:val="8"/>
            <w:tcBorders>
              <w:top w:val="nil"/>
              <w:left w:val="nil"/>
              <w:bottom w:val="single" w:color="000000" w:sz="4" w:space="0"/>
              <w:right w:val="nil"/>
            </w:tcBorders>
            <w:tcMar>
              <w:top w:w="15" w:type="dxa"/>
              <w:left w:w="15" w:type="dxa"/>
              <w:bottom w:w="0" w:type="dxa"/>
              <w:right w:w="15" w:type="dxa"/>
            </w:tcMar>
            <w:vAlign w:val="center"/>
          </w:tcPr>
          <w:p w14:paraId="66861A07">
            <w:pPr>
              <w:widowControl/>
              <w:spacing w:line="400" w:lineRule="exact"/>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34768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782" w:type="dxa"/>
            <w:gridSpan w:val="5"/>
            <w:tcBorders>
              <w:top w:val="single" w:color="000000" w:sz="4" w:space="0"/>
            </w:tcBorders>
            <w:tcMar>
              <w:top w:w="15" w:type="dxa"/>
              <w:left w:w="15" w:type="dxa"/>
              <w:bottom w:w="0" w:type="dxa"/>
              <w:right w:w="15" w:type="dxa"/>
            </w:tcMar>
            <w:vAlign w:val="center"/>
          </w:tcPr>
          <w:p w14:paraId="67B8B22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项目名称</w:t>
            </w:r>
          </w:p>
        </w:tc>
        <w:tc>
          <w:tcPr>
            <w:tcW w:w="6555" w:type="dxa"/>
            <w:gridSpan w:val="3"/>
            <w:tcBorders>
              <w:top w:val="single" w:color="000000" w:sz="4" w:space="0"/>
            </w:tcBorders>
            <w:tcMar>
              <w:top w:w="15" w:type="dxa"/>
              <w:left w:w="15" w:type="dxa"/>
              <w:bottom w:w="0" w:type="dxa"/>
              <w:right w:w="15" w:type="dxa"/>
            </w:tcMar>
            <w:vAlign w:val="center"/>
          </w:tcPr>
          <w:p w14:paraId="6CA1E6FB">
            <w:pPr>
              <w:widowControl/>
              <w:spacing w:line="400" w:lineRule="exact"/>
              <w:textAlignment w:val="center"/>
              <w:rPr>
                <w:rFonts w:ascii="宋体" w:hAnsi="宋体" w:cs="宋体"/>
                <w:color w:val="000000"/>
                <w:sz w:val="24"/>
              </w:rPr>
            </w:pPr>
            <w:r>
              <w:rPr>
                <w:rFonts w:hint="eastAsia" w:ascii="宋体" w:hAnsi="宋体" w:cs="宋体"/>
                <w:color w:val="000000"/>
                <w:sz w:val="24"/>
              </w:rPr>
              <w:t>精准扶贫、驻村帮扶经费</w:t>
            </w:r>
          </w:p>
        </w:tc>
      </w:tr>
      <w:tr w14:paraId="02AFB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782" w:type="dxa"/>
            <w:gridSpan w:val="5"/>
            <w:tcMar>
              <w:top w:w="15" w:type="dxa"/>
              <w:left w:w="15" w:type="dxa"/>
              <w:bottom w:w="0" w:type="dxa"/>
              <w:right w:w="15" w:type="dxa"/>
            </w:tcMar>
            <w:vAlign w:val="center"/>
          </w:tcPr>
          <w:p w14:paraId="3DF03427">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预算单位</w:t>
            </w:r>
          </w:p>
        </w:tc>
        <w:tc>
          <w:tcPr>
            <w:tcW w:w="6555" w:type="dxa"/>
            <w:gridSpan w:val="3"/>
            <w:tcMar>
              <w:top w:w="15" w:type="dxa"/>
              <w:left w:w="15" w:type="dxa"/>
              <w:bottom w:w="0" w:type="dxa"/>
              <w:right w:w="15" w:type="dxa"/>
            </w:tcMar>
            <w:vAlign w:val="center"/>
          </w:tcPr>
          <w:p w14:paraId="595C4E48">
            <w:pPr>
              <w:widowControl/>
              <w:spacing w:line="400" w:lineRule="exact"/>
              <w:textAlignment w:val="center"/>
              <w:rPr>
                <w:rFonts w:ascii="宋体" w:hAnsi="宋体" w:cs="宋体"/>
                <w:color w:val="000000"/>
                <w:sz w:val="24"/>
              </w:rPr>
            </w:pPr>
            <w:r>
              <w:rPr>
                <w:rFonts w:hint="eastAsia" w:ascii="宋体" w:hAnsi="宋体" w:cs="宋体"/>
                <w:color w:val="000000"/>
                <w:sz w:val="24"/>
              </w:rPr>
              <w:t>党工委办公室</w:t>
            </w:r>
          </w:p>
        </w:tc>
      </w:tr>
      <w:tr w14:paraId="3E351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restart"/>
            <w:tcMar>
              <w:top w:w="15" w:type="dxa"/>
              <w:left w:w="15" w:type="dxa"/>
              <w:bottom w:w="0" w:type="dxa"/>
              <w:right w:w="15" w:type="dxa"/>
            </w:tcMar>
            <w:vAlign w:val="center"/>
          </w:tcPr>
          <w:p w14:paraId="7E27C1ED">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77" w:type="dxa"/>
            <w:gridSpan w:val="4"/>
            <w:tcMar>
              <w:top w:w="15" w:type="dxa"/>
              <w:left w:w="15" w:type="dxa"/>
              <w:bottom w:w="0" w:type="dxa"/>
              <w:right w:w="15" w:type="dxa"/>
            </w:tcMar>
            <w:vAlign w:val="center"/>
          </w:tcPr>
          <w:p w14:paraId="3D0CCC1D">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预算数:</w:t>
            </w:r>
          </w:p>
        </w:tc>
        <w:tc>
          <w:tcPr>
            <w:tcW w:w="2131" w:type="dxa"/>
            <w:tcMar>
              <w:top w:w="15" w:type="dxa"/>
              <w:left w:w="15" w:type="dxa"/>
              <w:bottom w:w="0" w:type="dxa"/>
              <w:right w:w="15" w:type="dxa"/>
            </w:tcMar>
            <w:vAlign w:val="center"/>
          </w:tcPr>
          <w:p w14:paraId="4DC35587">
            <w:pPr>
              <w:widowControl/>
              <w:spacing w:line="400" w:lineRule="exact"/>
              <w:textAlignment w:val="center"/>
              <w:rPr>
                <w:rFonts w:ascii="宋体" w:hAnsi="宋体" w:cs="宋体"/>
                <w:color w:val="000000"/>
                <w:sz w:val="24"/>
              </w:rPr>
            </w:pPr>
            <w:r>
              <w:rPr>
                <w:rFonts w:hint="eastAsia" w:ascii="宋体" w:hAnsi="宋体" w:cs="宋体"/>
                <w:color w:val="000000"/>
                <w:sz w:val="24"/>
              </w:rPr>
              <w:t>108.54万元</w:t>
            </w:r>
          </w:p>
        </w:tc>
        <w:tc>
          <w:tcPr>
            <w:tcW w:w="2212" w:type="dxa"/>
            <w:tcMar>
              <w:top w:w="15" w:type="dxa"/>
              <w:left w:w="15" w:type="dxa"/>
              <w:bottom w:w="0" w:type="dxa"/>
              <w:right w:w="15" w:type="dxa"/>
            </w:tcMar>
            <w:vAlign w:val="center"/>
          </w:tcPr>
          <w:p w14:paraId="1DB6AC9D">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执行数:</w:t>
            </w:r>
          </w:p>
        </w:tc>
        <w:tc>
          <w:tcPr>
            <w:tcW w:w="2212" w:type="dxa"/>
            <w:tcMar>
              <w:top w:w="15" w:type="dxa"/>
              <w:left w:w="15" w:type="dxa"/>
              <w:bottom w:w="0" w:type="dxa"/>
              <w:right w:w="15" w:type="dxa"/>
            </w:tcMar>
            <w:vAlign w:val="center"/>
          </w:tcPr>
          <w:p w14:paraId="045EF560">
            <w:pPr>
              <w:widowControl/>
              <w:spacing w:line="400" w:lineRule="exact"/>
              <w:textAlignment w:val="center"/>
              <w:rPr>
                <w:rFonts w:ascii="宋体" w:hAnsi="宋体" w:cs="宋体"/>
                <w:color w:val="000000"/>
                <w:sz w:val="24"/>
              </w:rPr>
            </w:pPr>
            <w:r>
              <w:rPr>
                <w:rFonts w:hint="eastAsia" w:ascii="宋体" w:hAnsi="宋体" w:cs="宋体"/>
                <w:color w:val="000000"/>
                <w:sz w:val="24"/>
              </w:rPr>
              <w:t>108.54万元</w:t>
            </w:r>
          </w:p>
        </w:tc>
      </w:tr>
      <w:tr w14:paraId="13A9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continue"/>
            <w:vAlign w:val="center"/>
          </w:tcPr>
          <w:p w14:paraId="58E964C9">
            <w:pPr>
              <w:widowControl/>
              <w:spacing w:line="400" w:lineRule="exact"/>
              <w:rPr>
                <w:rFonts w:ascii="宋体" w:hAnsi="宋体" w:cs="宋体"/>
                <w:color w:val="000000"/>
                <w:sz w:val="24"/>
              </w:rPr>
            </w:pPr>
          </w:p>
        </w:tc>
        <w:tc>
          <w:tcPr>
            <w:tcW w:w="1977" w:type="dxa"/>
            <w:gridSpan w:val="4"/>
            <w:tcMar>
              <w:top w:w="15" w:type="dxa"/>
              <w:left w:w="15" w:type="dxa"/>
              <w:bottom w:w="0" w:type="dxa"/>
              <w:right w:w="15" w:type="dxa"/>
            </w:tcMar>
            <w:vAlign w:val="center"/>
          </w:tcPr>
          <w:p w14:paraId="2AA121B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其中-财政拨款:</w:t>
            </w:r>
          </w:p>
        </w:tc>
        <w:tc>
          <w:tcPr>
            <w:tcW w:w="2131" w:type="dxa"/>
            <w:tcMar>
              <w:top w:w="15" w:type="dxa"/>
              <w:left w:w="15" w:type="dxa"/>
              <w:bottom w:w="0" w:type="dxa"/>
              <w:right w:w="15" w:type="dxa"/>
            </w:tcMar>
            <w:vAlign w:val="center"/>
          </w:tcPr>
          <w:p w14:paraId="6BC9E654">
            <w:pPr>
              <w:widowControl/>
              <w:spacing w:line="400" w:lineRule="exact"/>
              <w:ind w:firstLine="826" w:firstLineChars="350"/>
              <w:textAlignment w:val="center"/>
              <w:rPr>
                <w:rFonts w:ascii="宋体" w:hAnsi="宋体" w:cs="宋体"/>
                <w:color w:val="000000"/>
                <w:sz w:val="24"/>
              </w:rPr>
            </w:pPr>
            <w:r>
              <w:rPr>
                <w:rFonts w:hint="eastAsia" w:ascii="宋体" w:hAnsi="宋体" w:cs="宋体"/>
                <w:color w:val="000000"/>
                <w:sz w:val="24"/>
              </w:rPr>
              <w:t>108.54万元</w:t>
            </w:r>
          </w:p>
        </w:tc>
        <w:tc>
          <w:tcPr>
            <w:tcW w:w="2212" w:type="dxa"/>
            <w:tcMar>
              <w:top w:w="15" w:type="dxa"/>
              <w:left w:w="15" w:type="dxa"/>
              <w:bottom w:w="0" w:type="dxa"/>
              <w:right w:w="15" w:type="dxa"/>
            </w:tcMar>
            <w:vAlign w:val="center"/>
          </w:tcPr>
          <w:p w14:paraId="3DA50210">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其中-财政拨款:</w:t>
            </w:r>
          </w:p>
        </w:tc>
        <w:tc>
          <w:tcPr>
            <w:tcW w:w="2212" w:type="dxa"/>
            <w:tcMar>
              <w:top w:w="15" w:type="dxa"/>
              <w:left w:w="15" w:type="dxa"/>
              <w:bottom w:w="0" w:type="dxa"/>
              <w:right w:w="15" w:type="dxa"/>
            </w:tcMar>
            <w:vAlign w:val="center"/>
          </w:tcPr>
          <w:p w14:paraId="16F3C073">
            <w:pPr>
              <w:widowControl/>
              <w:spacing w:line="400" w:lineRule="exact"/>
              <w:textAlignment w:val="center"/>
              <w:rPr>
                <w:rFonts w:ascii="宋体" w:hAnsi="宋体" w:cs="宋体"/>
                <w:color w:val="000000"/>
                <w:sz w:val="24"/>
              </w:rPr>
            </w:pPr>
            <w:r>
              <w:rPr>
                <w:rFonts w:hint="eastAsia" w:ascii="宋体" w:hAnsi="宋体" w:cs="宋体"/>
                <w:color w:val="000000"/>
                <w:sz w:val="24"/>
              </w:rPr>
              <w:t>108.54万元</w:t>
            </w:r>
          </w:p>
        </w:tc>
      </w:tr>
      <w:tr w14:paraId="5BF54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05" w:type="dxa"/>
            <w:vMerge w:val="continue"/>
            <w:vAlign w:val="center"/>
          </w:tcPr>
          <w:p w14:paraId="1C460FCD">
            <w:pPr>
              <w:widowControl/>
              <w:spacing w:line="400" w:lineRule="exact"/>
              <w:rPr>
                <w:rFonts w:ascii="宋体" w:hAnsi="宋体" w:cs="宋体"/>
                <w:color w:val="000000"/>
                <w:sz w:val="24"/>
              </w:rPr>
            </w:pPr>
          </w:p>
        </w:tc>
        <w:tc>
          <w:tcPr>
            <w:tcW w:w="1977" w:type="dxa"/>
            <w:gridSpan w:val="4"/>
            <w:tcMar>
              <w:top w:w="15" w:type="dxa"/>
              <w:left w:w="15" w:type="dxa"/>
              <w:bottom w:w="0" w:type="dxa"/>
              <w:right w:w="15" w:type="dxa"/>
            </w:tcMar>
            <w:vAlign w:val="center"/>
          </w:tcPr>
          <w:p w14:paraId="3A029782">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其它资金:</w:t>
            </w:r>
          </w:p>
        </w:tc>
        <w:tc>
          <w:tcPr>
            <w:tcW w:w="2131" w:type="dxa"/>
            <w:tcMar>
              <w:top w:w="15" w:type="dxa"/>
              <w:left w:w="15" w:type="dxa"/>
              <w:bottom w:w="0" w:type="dxa"/>
              <w:right w:w="15" w:type="dxa"/>
            </w:tcMar>
            <w:vAlign w:val="center"/>
          </w:tcPr>
          <w:p w14:paraId="427744D6">
            <w:pPr>
              <w:widowControl/>
              <w:spacing w:line="400" w:lineRule="exact"/>
              <w:textAlignment w:val="center"/>
              <w:rPr>
                <w:rFonts w:ascii="宋体" w:hAnsi="宋体" w:cs="宋体"/>
                <w:color w:val="000000"/>
                <w:sz w:val="24"/>
              </w:rPr>
            </w:pPr>
            <w:r>
              <w:rPr>
                <w:rFonts w:hint="eastAsia" w:ascii="宋体" w:hAnsi="宋体" w:cs="宋体"/>
                <w:color w:val="000000"/>
                <w:sz w:val="24"/>
              </w:rPr>
              <w:t>0</w:t>
            </w:r>
          </w:p>
        </w:tc>
        <w:tc>
          <w:tcPr>
            <w:tcW w:w="2212" w:type="dxa"/>
            <w:tcMar>
              <w:top w:w="15" w:type="dxa"/>
              <w:left w:w="15" w:type="dxa"/>
              <w:bottom w:w="0" w:type="dxa"/>
              <w:right w:w="15" w:type="dxa"/>
            </w:tcMar>
            <w:vAlign w:val="center"/>
          </w:tcPr>
          <w:p w14:paraId="57731D5F">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其它资金:</w:t>
            </w:r>
          </w:p>
        </w:tc>
        <w:tc>
          <w:tcPr>
            <w:tcW w:w="2212" w:type="dxa"/>
            <w:tcMar>
              <w:top w:w="15" w:type="dxa"/>
              <w:left w:w="15" w:type="dxa"/>
              <w:bottom w:w="0" w:type="dxa"/>
              <w:right w:w="15" w:type="dxa"/>
            </w:tcMar>
            <w:vAlign w:val="center"/>
          </w:tcPr>
          <w:p w14:paraId="4FAD5DBB">
            <w:pPr>
              <w:spacing w:line="400" w:lineRule="exact"/>
              <w:rPr>
                <w:rFonts w:ascii="宋体" w:hAnsi="宋体" w:cs="宋体"/>
                <w:color w:val="000000"/>
                <w:sz w:val="24"/>
              </w:rPr>
            </w:pPr>
            <w:r>
              <w:rPr>
                <w:rFonts w:hint="eastAsia" w:ascii="宋体" w:hAnsi="宋体" w:cs="宋体"/>
                <w:color w:val="000000"/>
                <w:sz w:val="24"/>
              </w:rPr>
              <w:t>0</w:t>
            </w:r>
          </w:p>
        </w:tc>
      </w:tr>
      <w:tr w14:paraId="52A77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restart"/>
            <w:tcMar>
              <w:top w:w="15" w:type="dxa"/>
              <w:left w:w="15" w:type="dxa"/>
              <w:bottom w:w="0" w:type="dxa"/>
              <w:right w:w="15" w:type="dxa"/>
            </w:tcMar>
            <w:vAlign w:val="center"/>
          </w:tcPr>
          <w:p w14:paraId="175CA29F">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108" w:type="dxa"/>
            <w:gridSpan w:val="5"/>
            <w:tcMar>
              <w:top w:w="15" w:type="dxa"/>
              <w:left w:w="15" w:type="dxa"/>
              <w:bottom w:w="0" w:type="dxa"/>
              <w:right w:w="15" w:type="dxa"/>
            </w:tcMar>
            <w:vAlign w:val="center"/>
          </w:tcPr>
          <w:p w14:paraId="40EA21EE">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预期目标</w:t>
            </w:r>
          </w:p>
        </w:tc>
        <w:tc>
          <w:tcPr>
            <w:tcW w:w="4424" w:type="dxa"/>
            <w:gridSpan w:val="2"/>
            <w:tcMar>
              <w:top w:w="15" w:type="dxa"/>
              <w:left w:w="15" w:type="dxa"/>
              <w:bottom w:w="0" w:type="dxa"/>
              <w:right w:w="15" w:type="dxa"/>
            </w:tcMar>
            <w:vAlign w:val="center"/>
          </w:tcPr>
          <w:p w14:paraId="0CB00B2B">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实际完成目标</w:t>
            </w:r>
          </w:p>
        </w:tc>
      </w:tr>
      <w:tr w14:paraId="310FD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05" w:type="dxa"/>
            <w:vMerge w:val="continue"/>
            <w:tcBorders>
              <w:bottom w:val="single" w:color="000000" w:sz="4" w:space="0"/>
            </w:tcBorders>
            <w:vAlign w:val="center"/>
          </w:tcPr>
          <w:p w14:paraId="6B3CCC67">
            <w:pPr>
              <w:widowControl/>
              <w:spacing w:line="400" w:lineRule="exact"/>
              <w:rPr>
                <w:rFonts w:ascii="宋体" w:hAnsi="宋体" w:cs="宋体"/>
                <w:color w:val="000000"/>
                <w:sz w:val="24"/>
              </w:rPr>
            </w:pPr>
          </w:p>
        </w:tc>
        <w:tc>
          <w:tcPr>
            <w:tcW w:w="4108" w:type="dxa"/>
            <w:gridSpan w:val="5"/>
            <w:tcBorders>
              <w:bottom w:val="single" w:color="000000" w:sz="4" w:space="0"/>
            </w:tcBorders>
            <w:tcMar>
              <w:top w:w="15" w:type="dxa"/>
              <w:left w:w="15" w:type="dxa"/>
              <w:bottom w:w="0" w:type="dxa"/>
              <w:right w:w="15" w:type="dxa"/>
            </w:tcMar>
            <w:vAlign w:val="center"/>
          </w:tcPr>
          <w:p w14:paraId="23F01951">
            <w:pPr>
              <w:widowControl/>
              <w:spacing w:line="400" w:lineRule="exact"/>
              <w:textAlignment w:val="center"/>
              <w:rPr>
                <w:rFonts w:ascii="宋体" w:hAnsi="宋体" w:cs="宋体"/>
                <w:color w:val="000000"/>
                <w:sz w:val="24"/>
              </w:rPr>
            </w:pPr>
            <w:r>
              <w:rPr>
                <w:rFonts w:hint="eastAsia" w:ascii="宋体" w:hAnsi="宋体" w:cs="宋体"/>
                <w:sz w:val="24"/>
              </w:rPr>
              <w:t>精准扶贫、对口帮扶马边县民建镇兴隆村，走访慰问、住房改造、道路改造、产业扶持、环境卫生综合治理等。</w:t>
            </w:r>
          </w:p>
        </w:tc>
        <w:tc>
          <w:tcPr>
            <w:tcW w:w="4424" w:type="dxa"/>
            <w:gridSpan w:val="2"/>
            <w:tcBorders>
              <w:bottom w:val="single" w:color="000000" w:sz="4" w:space="0"/>
            </w:tcBorders>
            <w:tcMar>
              <w:top w:w="15" w:type="dxa"/>
              <w:left w:w="15" w:type="dxa"/>
              <w:bottom w:w="0" w:type="dxa"/>
              <w:right w:w="15" w:type="dxa"/>
            </w:tcMar>
            <w:vAlign w:val="center"/>
          </w:tcPr>
          <w:p w14:paraId="3F885F1C">
            <w:pPr>
              <w:spacing w:line="320" w:lineRule="exact"/>
              <w:rPr>
                <w:rFonts w:ascii="宋体" w:hAnsi="宋体" w:cs="宋体"/>
                <w:color w:val="000000"/>
                <w:sz w:val="24"/>
              </w:rPr>
            </w:pPr>
            <w:r>
              <w:rPr>
                <w:rFonts w:hint="eastAsia" w:ascii="宋体" w:hAnsi="宋体" w:cs="宋体"/>
                <w:sz w:val="24"/>
              </w:rPr>
              <w:t>精准扶贫、对口帮扶马边县民建镇兴隆村，通村公路亮化、公共食堂及公共厕所建设、党群服务中心办公设备购置、环境风貌改造、公共食堂设施购置、走访慰问、贫困户住房改造等。</w:t>
            </w:r>
          </w:p>
        </w:tc>
      </w:tr>
      <w:tr w14:paraId="3FD71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05" w:type="dxa"/>
            <w:vMerge w:val="restart"/>
            <w:tcMar>
              <w:top w:w="15" w:type="dxa"/>
              <w:left w:w="15" w:type="dxa"/>
              <w:bottom w:w="0" w:type="dxa"/>
              <w:right w:w="15" w:type="dxa"/>
            </w:tcMar>
            <w:vAlign w:val="center"/>
          </w:tcPr>
          <w:p w14:paraId="377094FB">
            <w:pPr>
              <w:widowControl/>
              <w:spacing w:line="400" w:lineRule="exact"/>
              <w:textAlignment w:val="center"/>
              <w:rPr>
                <w:rFonts w:ascii="宋体" w:hAnsi="宋体" w:cs="宋体"/>
                <w:color w:val="000000"/>
                <w:sz w:val="24"/>
              </w:rPr>
            </w:pPr>
            <w:r>
              <w:rPr>
                <w:rFonts w:hint="eastAsia" w:ascii="宋体" w:hAnsi="宋体" w:cs="宋体"/>
                <w:color w:val="000000"/>
                <w:sz w:val="24"/>
              </w:rPr>
              <w:t>绩效指标完成情况</w:t>
            </w:r>
          </w:p>
        </w:tc>
        <w:tc>
          <w:tcPr>
            <w:tcW w:w="952" w:type="dxa"/>
            <w:gridSpan w:val="2"/>
            <w:tcMar>
              <w:top w:w="15" w:type="dxa"/>
              <w:left w:w="15" w:type="dxa"/>
              <w:bottom w:w="0" w:type="dxa"/>
              <w:right w:w="15" w:type="dxa"/>
            </w:tcMar>
            <w:vAlign w:val="center"/>
          </w:tcPr>
          <w:p w14:paraId="59ED9D44">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gridSpan w:val="2"/>
            <w:tcMar>
              <w:top w:w="15" w:type="dxa"/>
              <w:left w:w="15" w:type="dxa"/>
              <w:bottom w:w="0" w:type="dxa"/>
              <w:right w:w="15" w:type="dxa"/>
            </w:tcMar>
            <w:vAlign w:val="center"/>
          </w:tcPr>
          <w:p w14:paraId="71D3DAB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二级指标</w:t>
            </w:r>
          </w:p>
        </w:tc>
        <w:tc>
          <w:tcPr>
            <w:tcW w:w="2131" w:type="dxa"/>
            <w:tcMar>
              <w:top w:w="15" w:type="dxa"/>
              <w:left w:w="15" w:type="dxa"/>
              <w:bottom w:w="0" w:type="dxa"/>
              <w:right w:w="15" w:type="dxa"/>
            </w:tcMar>
            <w:vAlign w:val="center"/>
          </w:tcPr>
          <w:p w14:paraId="660B379E">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三级指标</w:t>
            </w:r>
          </w:p>
        </w:tc>
        <w:tc>
          <w:tcPr>
            <w:tcW w:w="2212" w:type="dxa"/>
            <w:tcMar>
              <w:top w:w="15" w:type="dxa"/>
              <w:left w:w="15" w:type="dxa"/>
              <w:bottom w:w="0" w:type="dxa"/>
              <w:right w:w="15" w:type="dxa"/>
            </w:tcMar>
            <w:vAlign w:val="center"/>
          </w:tcPr>
          <w:p w14:paraId="01B3944E">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212" w:type="dxa"/>
            <w:tcMar>
              <w:top w:w="15" w:type="dxa"/>
              <w:left w:w="15" w:type="dxa"/>
              <w:bottom w:w="0" w:type="dxa"/>
              <w:right w:w="15" w:type="dxa"/>
            </w:tcMar>
            <w:vAlign w:val="center"/>
          </w:tcPr>
          <w:p w14:paraId="619042DF">
            <w:pPr>
              <w:widowControl/>
              <w:spacing w:line="400" w:lineRule="exact"/>
              <w:textAlignment w:val="center"/>
              <w:rPr>
                <w:rFonts w:ascii="宋体" w:hAnsi="宋体" w:cs="宋体"/>
                <w:color w:val="000000"/>
                <w:sz w:val="24"/>
                <w:highlight w:val="yellow"/>
              </w:rPr>
            </w:pPr>
            <w:r>
              <w:rPr>
                <w:rFonts w:hint="eastAsia" w:ascii="宋体" w:hAnsi="宋体" w:cs="宋体"/>
                <w:color w:val="000000"/>
                <w:kern w:val="0"/>
                <w:sz w:val="24"/>
              </w:rPr>
              <w:t>实际完成指标值(包含数字及文字描述)</w:t>
            </w:r>
          </w:p>
        </w:tc>
      </w:tr>
      <w:tr w14:paraId="3BA1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805" w:type="dxa"/>
            <w:vMerge w:val="continue"/>
            <w:vAlign w:val="center"/>
          </w:tcPr>
          <w:p w14:paraId="69A127EA">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21A3AB8C">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5629DCF1">
            <w:pPr>
              <w:widowControl/>
              <w:spacing w:line="400" w:lineRule="exact"/>
              <w:textAlignment w:val="center"/>
              <w:rPr>
                <w:rFonts w:ascii="宋体" w:hAnsi="宋体" w:cs="宋体"/>
                <w:color w:val="000000"/>
                <w:sz w:val="24"/>
              </w:rPr>
            </w:pPr>
            <w:r>
              <w:rPr>
                <w:rFonts w:hint="eastAsia" w:ascii="宋体" w:hAnsi="宋体" w:cs="宋体"/>
                <w:color w:val="000000"/>
                <w:sz w:val="24"/>
              </w:rPr>
              <w:t>数量指标</w:t>
            </w:r>
          </w:p>
        </w:tc>
        <w:tc>
          <w:tcPr>
            <w:tcW w:w="2131" w:type="dxa"/>
            <w:tcMar>
              <w:top w:w="15" w:type="dxa"/>
              <w:left w:w="15" w:type="dxa"/>
              <w:bottom w:w="0" w:type="dxa"/>
              <w:right w:w="15" w:type="dxa"/>
            </w:tcMar>
            <w:vAlign w:val="center"/>
          </w:tcPr>
          <w:p w14:paraId="0B907C5E">
            <w:pPr>
              <w:widowControl/>
              <w:spacing w:line="400" w:lineRule="exact"/>
              <w:textAlignment w:val="center"/>
              <w:rPr>
                <w:rFonts w:ascii="宋体" w:hAnsi="宋体" w:cs="宋体"/>
                <w:color w:val="000000"/>
                <w:sz w:val="24"/>
              </w:rPr>
            </w:pPr>
            <w:r>
              <w:rPr>
                <w:rFonts w:hint="eastAsia" w:ascii="宋体" w:hAnsi="宋体" w:cs="宋体"/>
                <w:color w:val="000000"/>
                <w:sz w:val="24"/>
              </w:rPr>
              <w:t>走访慰问次数</w:t>
            </w:r>
          </w:p>
        </w:tc>
        <w:tc>
          <w:tcPr>
            <w:tcW w:w="2212" w:type="dxa"/>
            <w:tcMar>
              <w:top w:w="15" w:type="dxa"/>
              <w:left w:w="15" w:type="dxa"/>
              <w:bottom w:w="0" w:type="dxa"/>
              <w:right w:w="15" w:type="dxa"/>
            </w:tcMar>
            <w:vAlign w:val="center"/>
          </w:tcPr>
          <w:p w14:paraId="45C24013">
            <w:pPr>
              <w:spacing w:line="400" w:lineRule="exact"/>
              <w:rPr>
                <w:rFonts w:ascii="宋体" w:hAnsi="宋体" w:cs="宋体"/>
                <w:color w:val="000000"/>
                <w:sz w:val="24"/>
              </w:rPr>
            </w:pPr>
            <w:r>
              <w:rPr>
                <w:rFonts w:hint="eastAsia" w:ascii="宋体" w:hAnsi="宋体" w:cs="宋体"/>
                <w:color w:val="000000"/>
                <w:sz w:val="24"/>
              </w:rPr>
              <w:t>≥35次</w:t>
            </w:r>
          </w:p>
        </w:tc>
        <w:tc>
          <w:tcPr>
            <w:tcW w:w="2212" w:type="dxa"/>
            <w:tcMar>
              <w:top w:w="15" w:type="dxa"/>
              <w:left w:w="15" w:type="dxa"/>
              <w:bottom w:w="0" w:type="dxa"/>
              <w:right w:w="15" w:type="dxa"/>
            </w:tcMar>
            <w:vAlign w:val="center"/>
          </w:tcPr>
          <w:p w14:paraId="1E5EC708">
            <w:pPr>
              <w:spacing w:line="400" w:lineRule="exact"/>
              <w:jc w:val="center"/>
              <w:rPr>
                <w:rFonts w:ascii="宋体" w:hAnsi="宋体" w:cs="宋体"/>
                <w:color w:val="000000" w:themeColor="text1"/>
                <w:sz w:val="24"/>
              </w:rPr>
            </w:pPr>
            <w:r>
              <w:rPr>
                <w:rFonts w:hint="eastAsia" w:ascii="宋体" w:hAnsi="宋体" w:cs="宋体"/>
                <w:color w:val="000000" w:themeColor="text1"/>
                <w:sz w:val="24"/>
              </w:rPr>
              <w:t>116次</w:t>
            </w:r>
          </w:p>
        </w:tc>
      </w:tr>
      <w:tr w14:paraId="78149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05" w:type="dxa"/>
            <w:vMerge w:val="continue"/>
            <w:vAlign w:val="center"/>
          </w:tcPr>
          <w:p w14:paraId="7755F0F6">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04B45D8B">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276984A3">
            <w:pPr>
              <w:widowControl/>
              <w:spacing w:line="400" w:lineRule="exact"/>
              <w:textAlignment w:val="center"/>
              <w:rPr>
                <w:rFonts w:ascii="宋体" w:hAnsi="宋体" w:cs="宋体"/>
                <w:color w:val="000000"/>
                <w:sz w:val="24"/>
              </w:rPr>
            </w:pPr>
            <w:r>
              <w:rPr>
                <w:rFonts w:hint="eastAsia" w:ascii="宋体" w:hAnsi="宋体" w:cs="宋体"/>
                <w:color w:val="000000"/>
                <w:sz w:val="24"/>
              </w:rPr>
              <w:t>数量指标</w:t>
            </w:r>
          </w:p>
        </w:tc>
        <w:tc>
          <w:tcPr>
            <w:tcW w:w="2131" w:type="dxa"/>
            <w:tcMar>
              <w:top w:w="15" w:type="dxa"/>
              <w:left w:w="15" w:type="dxa"/>
              <w:bottom w:w="0" w:type="dxa"/>
              <w:right w:w="15" w:type="dxa"/>
            </w:tcMar>
            <w:vAlign w:val="center"/>
          </w:tcPr>
          <w:p w14:paraId="152086E1">
            <w:pPr>
              <w:spacing w:line="400" w:lineRule="exact"/>
              <w:rPr>
                <w:rFonts w:ascii="宋体" w:hAnsi="宋体" w:cs="宋体"/>
                <w:color w:val="000000"/>
                <w:sz w:val="24"/>
              </w:rPr>
            </w:pPr>
            <w:r>
              <w:rPr>
                <w:rFonts w:hint="eastAsia" w:ascii="宋体" w:hAnsi="宋体" w:cs="宋体"/>
                <w:color w:val="000000"/>
                <w:sz w:val="24"/>
              </w:rPr>
              <w:t>慰问农户户数</w:t>
            </w:r>
          </w:p>
        </w:tc>
        <w:tc>
          <w:tcPr>
            <w:tcW w:w="2212" w:type="dxa"/>
            <w:tcMar>
              <w:top w:w="15" w:type="dxa"/>
              <w:left w:w="15" w:type="dxa"/>
              <w:bottom w:w="0" w:type="dxa"/>
              <w:right w:w="15" w:type="dxa"/>
            </w:tcMar>
            <w:vAlign w:val="center"/>
          </w:tcPr>
          <w:p w14:paraId="7D0128B5">
            <w:pPr>
              <w:spacing w:line="400" w:lineRule="exact"/>
              <w:rPr>
                <w:rFonts w:ascii="宋体" w:hAnsi="宋体" w:cs="宋体"/>
                <w:color w:val="000000"/>
                <w:sz w:val="24"/>
              </w:rPr>
            </w:pPr>
            <w:r>
              <w:rPr>
                <w:rFonts w:hint="eastAsia" w:ascii="宋体" w:hAnsi="宋体" w:cs="宋体"/>
                <w:color w:val="000000"/>
                <w:sz w:val="24"/>
              </w:rPr>
              <w:t>≥90户</w:t>
            </w:r>
          </w:p>
        </w:tc>
        <w:tc>
          <w:tcPr>
            <w:tcW w:w="2212" w:type="dxa"/>
            <w:tcMar>
              <w:top w:w="15" w:type="dxa"/>
              <w:left w:w="15" w:type="dxa"/>
              <w:bottom w:w="0" w:type="dxa"/>
              <w:right w:w="15" w:type="dxa"/>
            </w:tcMar>
            <w:vAlign w:val="center"/>
          </w:tcPr>
          <w:p w14:paraId="503D998F">
            <w:pPr>
              <w:spacing w:line="400" w:lineRule="exact"/>
              <w:jc w:val="center"/>
              <w:rPr>
                <w:rFonts w:ascii="宋体" w:hAnsi="宋体" w:cs="宋体"/>
                <w:sz w:val="24"/>
              </w:rPr>
            </w:pPr>
            <w:r>
              <w:rPr>
                <w:rFonts w:hint="eastAsia" w:ascii="宋体" w:hAnsi="宋体" w:cs="宋体"/>
                <w:sz w:val="24"/>
              </w:rPr>
              <w:t>94户</w:t>
            </w:r>
          </w:p>
        </w:tc>
      </w:tr>
      <w:tr w14:paraId="62C2B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05" w:type="dxa"/>
            <w:vMerge w:val="continue"/>
            <w:vAlign w:val="center"/>
          </w:tcPr>
          <w:p w14:paraId="777C5F4E">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7B27C75B">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49DFCE1C">
            <w:pPr>
              <w:widowControl/>
              <w:spacing w:line="400" w:lineRule="exact"/>
              <w:textAlignment w:val="center"/>
              <w:rPr>
                <w:rFonts w:ascii="宋体" w:hAnsi="宋体" w:cs="宋体"/>
                <w:color w:val="000000"/>
                <w:sz w:val="24"/>
              </w:rPr>
            </w:pPr>
            <w:r>
              <w:rPr>
                <w:rFonts w:hint="eastAsia" w:ascii="宋体" w:hAnsi="宋体" w:cs="宋体"/>
                <w:color w:val="000000"/>
                <w:sz w:val="24"/>
              </w:rPr>
              <w:t>经济效益指标</w:t>
            </w:r>
          </w:p>
        </w:tc>
        <w:tc>
          <w:tcPr>
            <w:tcW w:w="2131" w:type="dxa"/>
            <w:tcMar>
              <w:top w:w="15" w:type="dxa"/>
              <w:left w:w="15" w:type="dxa"/>
              <w:bottom w:w="0" w:type="dxa"/>
              <w:right w:w="15" w:type="dxa"/>
            </w:tcMar>
            <w:vAlign w:val="center"/>
          </w:tcPr>
          <w:p w14:paraId="2E671029">
            <w:pPr>
              <w:widowControl/>
              <w:spacing w:line="400" w:lineRule="exact"/>
              <w:textAlignment w:val="center"/>
              <w:rPr>
                <w:rFonts w:ascii="宋体" w:hAnsi="宋体" w:cs="宋体"/>
                <w:color w:val="000000"/>
                <w:sz w:val="24"/>
              </w:rPr>
            </w:pPr>
            <w:r>
              <w:rPr>
                <w:rFonts w:hint="eastAsia" w:ascii="宋体" w:hAnsi="宋体" w:cs="宋体"/>
                <w:color w:val="000000"/>
                <w:sz w:val="24"/>
              </w:rPr>
              <w:t>农户增收</w:t>
            </w:r>
          </w:p>
        </w:tc>
        <w:tc>
          <w:tcPr>
            <w:tcW w:w="2212" w:type="dxa"/>
            <w:tcMar>
              <w:top w:w="15" w:type="dxa"/>
              <w:left w:w="15" w:type="dxa"/>
              <w:bottom w:w="0" w:type="dxa"/>
              <w:right w:w="15" w:type="dxa"/>
            </w:tcMar>
            <w:vAlign w:val="center"/>
          </w:tcPr>
          <w:p w14:paraId="3893219E">
            <w:pPr>
              <w:spacing w:line="400" w:lineRule="exact"/>
              <w:rPr>
                <w:rFonts w:ascii="宋体" w:hAnsi="宋体" w:cs="宋体"/>
                <w:color w:val="000000"/>
                <w:sz w:val="24"/>
              </w:rPr>
            </w:pPr>
            <w:r>
              <w:rPr>
                <w:rFonts w:hint="eastAsia" w:ascii="宋体" w:hAnsi="宋体" w:cs="宋体"/>
                <w:color w:val="000000"/>
                <w:sz w:val="24"/>
              </w:rPr>
              <w:t>1000元以上</w:t>
            </w:r>
          </w:p>
        </w:tc>
        <w:tc>
          <w:tcPr>
            <w:tcW w:w="2212" w:type="dxa"/>
            <w:tcMar>
              <w:top w:w="15" w:type="dxa"/>
              <w:left w:w="15" w:type="dxa"/>
              <w:bottom w:w="0" w:type="dxa"/>
              <w:right w:w="15" w:type="dxa"/>
            </w:tcMar>
            <w:vAlign w:val="center"/>
          </w:tcPr>
          <w:p w14:paraId="67DD7FB6">
            <w:pPr>
              <w:spacing w:line="400" w:lineRule="exact"/>
              <w:jc w:val="center"/>
              <w:rPr>
                <w:rFonts w:ascii="宋体" w:hAnsi="宋体" w:cs="宋体"/>
                <w:color w:val="000000" w:themeColor="text1"/>
                <w:sz w:val="24"/>
                <w:highlight w:val="yellow"/>
              </w:rPr>
            </w:pPr>
            <w:r>
              <w:rPr>
                <w:rFonts w:hint="eastAsia" w:ascii="宋体" w:hAnsi="宋体" w:cs="宋体"/>
                <w:color w:val="000000" w:themeColor="text1"/>
                <w:sz w:val="24"/>
              </w:rPr>
              <w:t>1200元</w:t>
            </w:r>
          </w:p>
        </w:tc>
      </w:tr>
      <w:tr w14:paraId="3620B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805" w:type="dxa"/>
            <w:vMerge w:val="continue"/>
            <w:vAlign w:val="center"/>
          </w:tcPr>
          <w:p w14:paraId="1981794A">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56F2EF82">
            <w:pPr>
              <w:widowControl/>
              <w:spacing w:line="400" w:lineRule="exact"/>
              <w:textAlignment w:val="center"/>
              <w:rPr>
                <w:rFonts w:ascii="宋体" w:hAnsi="宋体" w:cs="宋体"/>
                <w:color w:val="000000"/>
                <w:sz w:val="24"/>
              </w:rPr>
            </w:pPr>
            <w:r>
              <w:rPr>
                <w:rFonts w:hint="eastAsia" w:ascii="宋体" w:hAnsi="宋体" w:cs="宋体"/>
                <w:color w:val="000000"/>
                <w:sz w:val="24"/>
              </w:rPr>
              <w:t>社会效益指标</w:t>
            </w:r>
          </w:p>
        </w:tc>
        <w:tc>
          <w:tcPr>
            <w:tcW w:w="1025" w:type="dxa"/>
            <w:gridSpan w:val="2"/>
            <w:tcMar>
              <w:top w:w="15" w:type="dxa"/>
              <w:left w:w="15" w:type="dxa"/>
              <w:bottom w:w="0" w:type="dxa"/>
              <w:right w:w="15" w:type="dxa"/>
            </w:tcMar>
            <w:vAlign w:val="center"/>
          </w:tcPr>
          <w:p w14:paraId="21836A40">
            <w:pPr>
              <w:widowControl/>
              <w:spacing w:line="400" w:lineRule="exact"/>
              <w:textAlignment w:val="center"/>
              <w:rPr>
                <w:rFonts w:ascii="宋体" w:hAnsi="宋体" w:cs="宋体"/>
                <w:color w:val="000000"/>
                <w:sz w:val="24"/>
              </w:rPr>
            </w:pPr>
            <w:r>
              <w:rPr>
                <w:rFonts w:hint="eastAsia" w:ascii="宋体" w:hAnsi="宋体" w:cs="宋体"/>
                <w:color w:val="000000"/>
                <w:sz w:val="24"/>
              </w:rPr>
              <w:t>社会效益指标</w:t>
            </w:r>
          </w:p>
        </w:tc>
        <w:tc>
          <w:tcPr>
            <w:tcW w:w="2131" w:type="dxa"/>
            <w:tcMar>
              <w:top w:w="15" w:type="dxa"/>
              <w:left w:w="15" w:type="dxa"/>
              <w:bottom w:w="0" w:type="dxa"/>
              <w:right w:w="15" w:type="dxa"/>
            </w:tcMar>
            <w:vAlign w:val="center"/>
          </w:tcPr>
          <w:p w14:paraId="4DE57300">
            <w:pPr>
              <w:widowControl/>
              <w:spacing w:line="400" w:lineRule="exact"/>
              <w:textAlignment w:val="center"/>
              <w:rPr>
                <w:rFonts w:ascii="宋体" w:hAnsi="宋体" w:cs="宋体"/>
                <w:color w:val="000000"/>
                <w:sz w:val="24"/>
              </w:rPr>
            </w:pPr>
            <w:r>
              <w:rPr>
                <w:rFonts w:hint="eastAsia" w:ascii="宋体" w:hAnsi="宋体" w:cs="宋体"/>
                <w:color w:val="000000"/>
                <w:sz w:val="24"/>
              </w:rPr>
              <w:t>对农户的促进作用</w:t>
            </w:r>
          </w:p>
        </w:tc>
        <w:tc>
          <w:tcPr>
            <w:tcW w:w="2212" w:type="dxa"/>
            <w:tcMar>
              <w:top w:w="15" w:type="dxa"/>
              <w:left w:w="15" w:type="dxa"/>
              <w:bottom w:w="0" w:type="dxa"/>
              <w:right w:w="15" w:type="dxa"/>
            </w:tcMar>
            <w:vAlign w:val="center"/>
          </w:tcPr>
          <w:p w14:paraId="462AEFAD">
            <w:pPr>
              <w:widowControl/>
              <w:spacing w:line="400" w:lineRule="exact"/>
              <w:textAlignment w:val="center"/>
              <w:rPr>
                <w:rFonts w:ascii="宋体" w:hAnsi="宋体" w:cs="宋体"/>
                <w:color w:val="000000"/>
                <w:sz w:val="24"/>
              </w:rPr>
            </w:pPr>
            <w:r>
              <w:rPr>
                <w:rFonts w:hint="eastAsia" w:ascii="宋体" w:hAnsi="宋体" w:cs="宋体"/>
                <w:color w:val="000000"/>
                <w:sz w:val="24"/>
              </w:rPr>
              <w:t>养成好习惯、形成好风气</w:t>
            </w:r>
          </w:p>
        </w:tc>
        <w:tc>
          <w:tcPr>
            <w:tcW w:w="2212" w:type="dxa"/>
            <w:tcMar>
              <w:top w:w="15" w:type="dxa"/>
              <w:left w:w="15" w:type="dxa"/>
              <w:bottom w:w="0" w:type="dxa"/>
              <w:right w:w="15" w:type="dxa"/>
            </w:tcMar>
            <w:vAlign w:val="center"/>
          </w:tcPr>
          <w:p w14:paraId="49CDBCED">
            <w:pPr>
              <w:widowControl/>
              <w:spacing w:line="400" w:lineRule="exact"/>
              <w:textAlignment w:val="center"/>
              <w:rPr>
                <w:rFonts w:ascii="宋体" w:hAnsi="宋体" w:cs="宋体"/>
                <w:color w:val="000000"/>
                <w:sz w:val="24"/>
              </w:rPr>
            </w:pPr>
            <w:r>
              <w:rPr>
                <w:rFonts w:hint="eastAsia" w:ascii="宋体" w:hAnsi="宋体" w:cs="宋体"/>
                <w:color w:val="000000"/>
                <w:sz w:val="24"/>
              </w:rPr>
              <w:t>养成好习惯、形成好风气</w:t>
            </w:r>
          </w:p>
        </w:tc>
      </w:tr>
      <w:tr w14:paraId="08754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05" w:type="dxa"/>
            <w:vMerge w:val="continue"/>
            <w:vAlign w:val="center"/>
          </w:tcPr>
          <w:p w14:paraId="6BD56F6E">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7DCE57C9">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生态效益指标</w:t>
            </w:r>
          </w:p>
        </w:tc>
        <w:tc>
          <w:tcPr>
            <w:tcW w:w="1025" w:type="dxa"/>
            <w:gridSpan w:val="2"/>
            <w:tcMar>
              <w:top w:w="15" w:type="dxa"/>
              <w:left w:w="15" w:type="dxa"/>
              <w:bottom w:w="0" w:type="dxa"/>
              <w:right w:w="15" w:type="dxa"/>
            </w:tcMar>
            <w:vAlign w:val="center"/>
          </w:tcPr>
          <w:p w14:paraId="69C2D743">
            <w:pPr>
              <w:widowControl/>
              <w:spacing w:line="400" w:lineRule="exact"/>
              <w:textAlignment w:val="center"/>
              <w:rPr>
                <w:rFonts w:ascii="宋体" w:hAnsi="宋体" w:cs="宋体"/>
                <w:color w:val="000000"/>
                <w:sz w:val="24"/>
              </w:rPr>
            </w:pPr>
            <w:r>
              <w:rPr>
                <w:rFonts w:hint="eastAsia" w:ascii="宋体" w:hAnsi="宋体" w:cs="宋体"/>
                <w:color w:val="000000"/>
                <w:sz w:val="24"/>
              </w:rPr>
              <w:t>生态效益</w:t>
            </w:r>
          </w:p>
          <w:p w14:paraId="65EB6028">
            <w:pPr>
              <w:widowControl/>
              <w:spacing w:line="400" w:lineRule="exact"/>
              <w:textAlignment w:val="center"/>
              <w:rPr>
                <w:rFonts w:ascii="宋体" w:hAnsi="宋体" w:cs="宋体"/>
                <w:color w:val="000000"/>
                <w:sz w:val="24"/>
              </w:rPr>
            </w:pPr>
            <w:r>
              <w:rPr>
                <w:rFonts w:hint="eastAsia" w:ascii="宋体" w:hAnsi="宋体" w:cs="宋体"/>
                <w:color w:val="000000"/>
                <w:sz w:val="24"/>
              </w:rPr>
              <w:t>指标</w:t>
            </w:r>
          </w:p>
        </w:tc>
        <w:tc>
          <w:tcPr>
            <w:tcW w:w="2131" w:type="dxa"/>
            <w:tcMar>
              <w:top w:w="15" w:type="dxa"/>
              <w:left w:w="15" w:type="dxa"/>
              <w:bottom w:w="0" w:type="dxa"/>
              <w:right w:w="15" w:type="dxa"/>
            </w:tcMar>
            <w:vAlign w:val="center"/>
          </w:tcPr>
          <w:p w14:paraId="636D8CFA">
            <w:pPr>
              <w:widowControl/>
              <w:spacing w:line="400" w:lineRule="exact"/>
              <w:textAlignment w:val="center"/>
              <w:rPr>
                <w:rFonts w:ascii="宋体" w:hAnsi="宋体" w:cs="宋体"/>
                <w:color w:val="000000"/>
                <w:sz w:val="24"/>
              </w:rPr>
            </w:pPr>
            <w:r>
              <w:rPr>
                <w:rFonts w:hint="eastAsia" w:ascii="宋体" w:hAnsi="宋体" w:cs="宋体"/>
                <w:color w:val="000000"/>
                <w:sz w:val="24"/>
              </w:rPr>
              <w:t>产业扶持</w:t>
            </w:r>
          </w:p>
        </w:tc>
        <w:tc>
          <w:tcPr>
            <w:tcW w:w="2212" w:type="dxa"/>
            <w:tcMar>
              <w:top w:w="15" w:type="dxa"/>
              <w:left w:w="15" w:type="dxa"/>
              <w:bottom w:w="0" w:type="dxa"/>
              <w:right w:w="15" w:type="dxa"/>
            </w:tcMar>
            <w:vAlign w:val="center"/>
          </w:tcPr>
          <w:p w14:paraId="76D9D888">
            <w:pPr>
              <w:widowControl/>
              <w:spacing w:line="400" w:lineRule="exact"/>
              <w:jc w:val="left"/>
              <w:textAlignment w:val="center"/>
              <w:rPr>
                <w:rFonts w:ascii="宋体" w:hAnsi="宋体" w:cs="宋体"/>
                <w:color w:val="000000"/>
                <w:sz w:val="24"/>
              </w:rPr>
            </w:pPr>
            <w:r>
              <w:rPr>
                <w:rFonts w:hint="eastAsia" w:ascii="宋体" w:hAnsi="宋体" w:cs="宋体"/>
                <w:color w:val="000000"/>
                <w:sz w:val="24"/>
              </w:rPr>
              <w:t>扩大种植规模200亩以上</w:t>
            </w:r>
          </w:p>
        </w:tc>
        <w:tc>
          <w:tcPr>
            <w:tcW w:w="2212" w:type="dxa"/>
            <w:tcMar>
              <w:top w:w="15" w:type="dxa"/>
              <w:left w:w="15" w:type="dxa"/>
              <w:bottom w:w="0" w:type="dxa"/>
              <w:right w:w="15" w:type="dxa"/>
            </w:tcMar>
            <w:vAlign w:val="center"/>
          </w:tcPr>
          <w:p w14:paraId="32CF8915">
            <w:pPr>
              <w:widowControl/>
              <w:spacing w:line="400" w:lineRule="exact"/>
              <w:jc w:val="center"/>
              <w:textAlignment w:val="center"/>
              <w:rPr>
                <w:rFonts w:ascii="宋体" w:hAnsi="宋体" w:cs="宋体"/>
                <w:color w:val="000000" w:themeColor="text1"/>
                <w:sz w:val="24"/>
              </w:rPr>
            </w:pPr>
            <w:r>
              <w:rPr>
                <w:rFonts w:hint="eastAsia" w:ascii="宋体" w:hAnsi="宋体" w:cs="宋体"/>
                <w:color w:val="000000" w:themeColor="text1"/>
                <w:sz w:val="24"/>
              </w:rPr>
              <w:t>220亩</w:t>
            </w:r>
          </w:p>
        </w:tc>
      </w:tr>
      <w:tr w14:paraId="41F62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05" w:type="dxa"/>
            <w:vMerge w:val="continue"/>
            <w:tcBorders>
              <w:bottom w:val="single" w:color="000000" w:sz="4" w:space="0"/>
            </w:tcBorders>
            <w:vAlign w:val="center"/>
          </w:tcPr>
          <w:p w14:paraId="681E77A0">
            <w:pPr>
              <w:widowControl/>
              <w:spacing w:line="400" w:lineRule="exact"/>
              <w:rPr>
                <w:rFonts w:ascii="宋体" w:hAnsi="宋体" w:cs="宋体"/>
                <w:color w:val="000000"/>
                <w:sz w:val="24"/>
              </w:rPr>
            </w:pPr>
          </w:p>
        </w:tc>
        <w:tc>
          <w:tcPr>
            <w:tcW w:w="952" w:type="dxa"/>
            <w:gridSpan w:val="2"/>
            <w:tcBorders>
              <w:bottom w:val="single" w:color="000000" w:sz="4" w:space="0"/>
            </w:tcBorders>
            <w:tcMar>
              <w:top w:w="15" w:type="dxa"/>
              <w:left w:w="15" w:type="dxa"/>
              <w:bottom w:w="0" w:type="dxa"/>
              <w:right w:w="15" w:type="dxa"/>
            </w:tcMar>
            <w:vAlign w:val="center"/>
          </w:tcPr>
          <w:p w14:paraId="5F8C6A26">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gridSpan w:val="2"/>
            <w:tcBorders>
              <w:bottom w:val="single" w:color="000000" w:sz="4" w:space="0"/>
            </w:tcBorders>
            <w:tcMar>
              <w:top w:w="15" w:type="dxa"/>
              <w:left w:w="15" w:type="dxa"/>
              <w:bottom w:w="0" w:type="dxa"/>
              <w:right w:w="15" w:type="dxa"/>
            </w:tcMar>
            <w:vAlign w:val="center"/>
          </w:tcPr>
          <w:p w14:paraId="4E8C5A59">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满意度指标</w:t>
            </w:r>
          </w:p>
        </w:tc>
        <w:tc>
          <w:tcPr>
            <w:tcW w:w="2131" w:type="dxa"/>
            <w:tcBorders>
              <w:bottom w:val="single" w:color="000000" w:sz="4" w:space="0"/>
            </w:tcBorders>
            <w:tcMar>
              <w:top w:w="15" w:type="dxa"/>
              <w:left w:w="15" w:type="dxa"/>
              <w:bottom w:w="0" w:type="dxa"/>
              <w:right w:w="15" w:type="dxa"/>
            </w:tcMar>
            <w:vAlign w:val="center"/>
          </w:tcPr>
          <w:p w14:paraId="4B16A1C8">
            <w:pPr>
              <w:widowControl/>
              <w:spacing w:line="400" w:lineRule="exact"/>
              <w:textAlignment w:val="center"/>
              <w:rPr>
                <w:rFonts w:ascii="宋体" w:hAnsi="宋体" w:cs="宋体"/>
                <w:color w:val="000000"/>
                <w:sz w:val="24"/>
              </w:rPr>
            </w:pPr>
            <w:r>
              <w:rPr>
                <w:rFonts w:hint="eastAsia" w:ascii="宋体" w:hAnsi="宋体" w:cs="宋体"/>
                <w:color w:val="000000"/>
                <w:sz w:val="24"/>
              </w:rPr>
              <w:t>帮扶对象满意度</w:t>
            </w:r>
          </w:p>
        </w:tc>
        <w:tc>
          <w:tcPr>
            <w:tcW w:w="2212" w:type="dxa"/>
            <w:tcBorders>
              <w:bottom w:val="single" w:color="000000" w:sz="4" w:space="0"/>
            </w:tcBorders>
            <w:tcMar>
              <w:top w:w="15" w:type="dxa"/>
              <w:left w:w="15" w:type="dxa"/>
              <w:bottom w:w="0" w:type="dxa"/>
              <w:right w:w="15" w:type="dxa"/>
            </w:tcMar>
            <w:vAlign w:val="center"/>
          </w:tcPr>
          <w:p w14:paraId="74A25BF7">
            <w:pPr>
              <w:spacing w:line="400" w:lineRule="exact"/>
              <w:rPr>
                <w:rFonts w:ascii="宋体" w:hAnsi="宋体" w:cs="宋体"/>
                <w:color w:val="000000"/>
                <w:sz w:val="24"/>
              </w:rPr>
            </w:pPr>
            <w:r>
              <w:rPr>
                <w:rFonts w:hint="eastAsia" w:ascii="宋体" w:hAnsi="宋体" w:cs="宋体"/>
                <w:color w:val="000000"/>
                <w:sz w:val="24"/>
              </w:rPr>
              <w:t>≥90%</w:t>
            </w:r>
          </w:p>
        </w:tc>
        <w:tc>
          <w:tcPr>
            <w:tcW w:w="2212" w:type="dxa"/>
            <w:tcBorders>
              <w:bottom w:val="single" w:color="000000" w:sz="4" w:space="0"/>
            </w:tcBorders>
            <w:tcMar>
              <w:top w:w="15" w:type="dxa"/>
              <w:left w:w="15" w:type="dxa"/>
              <w:bottom w:w="0" w:type="dxa"/>
              <w:right w:w="15" w:type="dxa"/>
            </w:tcMar>
            <w:vAlign w:val="center"/>
          </w:tcPr>
          <w:p w14:paraId="7E26CCF6">
            <w:pPr>
              <w:spacing w:line="400" w:lineRule="exact"/>
              <w:ind w:firstLine="1062" w:firstLineChars="450"/>
              <w:rPr>
                <w:rFonts w:ascii="宋体" w:hAnsi="宋体" w:cs="宋体"/>
                <w:color w:val="000000"/>
                <w:sz w:val="24"/>
              </w:rPr>
            </w:pPr>
            <w:r>
              <w:rPr>
                <w:rFonts w:hint="eastAsia" w:ascii="宋体" w:hAnsi="宋体" w:cs="宋体"/>
                <w:color w:val="000000"/>
                <w:sz w:val="24"/>
              </w:rPr>
              <w:t>95%</w:t>
            </w:r>
          </w:p>
        </w:tc>
      </w:tr>
      <w:tr w14:paraId="23E7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9337" w:type="dxa"/>
            <w:gridSpan w:val="8"/>
            <w:tcBorders>
              <w:top w:val="single" w:color="000000" w:sz="4" w:space="0"/>
              <w:left w:val="nil"/>
              <w:bottom w:val="nil"/>
              <w:right w:val="nil"/>
            </w:tcBorders>
            <w:tcMar>
              <w:top w:w="15" w:type="dxa"/>
              <w:left w:w="15" w:type="dxa"/>
              <w:bottom w:w="0" w:type="dxa"/>
              <w:right w:w="15" w:type="dxa"/>
            </w:tcMar>
            <w:vAlign w:val="center"/>
          </w:tcPr>
          <w:p w14:paraId="7BE8CA79">
            <w:pPr>
              <w:pStyle w:val="24"/>
              <w:widowControl/>
              <w:spacing w:line="400" w:lineRule="exact"/>
              <w:ind w:left="5546" w:leftChars="1310" w:hanging="1407" w:hangingChars="395"/>
              <w:textAlignment w:val="center"/>
              <w:rPr>
                <w:rFonts w:ascii="宋体" w:hAnsi="宋体" w:cs="宋体"/>
                <w:color w:val="000000"/>
                <w:sz w:val="36"/>
                <w:szCs w:val="36"/>
              </w:rPr>
            </w:pPr>
          </w:p>
        </w:tc>
      </w:tr>
      <w:tr w14:paraId="194B2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9337" w:type="dxa"/>
            <w:gridSpan w:val="8"/>
            <w:tcBorders>
              <w:top w:val="nil"/>
              <w:left w:val="nil"/>
              <w:bottom w:val="single" w:color="000000" w:sz="4" w:space="0"/>
              <w:right w:val="nil"/>
            </w:tcBorders>
            <w:tcMar>
              <w:top w:w="15" w:type="dxa"/>
              <w:left w:w="15" w:type="dxa"/>
              <w:bottom w:w="0" w:type="dxa"/>
              <w:right w:w="15" w:type="dxa"/>
            </w:tcMar>
            <w:vAlign w:val="center"/>
          </w:tcPr>
          <w:p w14:paraId="74C9DD6F">
            <w:pPr>
              <w:widowControl/>
              <w:spacing w:line="400" w:lineRule="exact"/>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6883D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782" w:type="dxa"/>
            <w:gridSpan w:val="5"/>
            <w:tcBorders>
              <w:top w:val="single" w:color="000000" w:sz="4" w:space="0"/>
            </w:tcBorders>
            <w:tcMar>
              <w:top w:w="15" w:type="dxa"/>
              <w:left w:w="15" w:type="dxa"/>
              <w:bottom w:w="0" w:type="dxa"/>
              <w:right w:w="15" w:type="dxa"/>
            </w:tcMar>
            <w:vAlign w:val="center"/>
          </w:tcPr>
          <w:p w14:paraId="0ABC998C">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项目名称</w:t>
            </w:r>
          </w:p>
        </w:tc>
        <w:tc>
          <w:tcPr>
            <w:tcW w:w="6555" w:type="dxa"/>
            <w:gridSpan w:val="3"/>
            <w:tcBorders>
              <w:top w:val="single" w:color="000000" w:sz="4" w:space="0"/>
            </w:tcBorders>
            <w:tcMar>
              <w:top w:w="15" w:type="dxa"/>
              <w:left w:w="15" w:type="dxa"/>
              <w:bottom w:w="0" w:type="dxa"/>
              <w:right w:w="15" w:type="dxa"/>
            </w:tcMar>
            <w:vAlign w:val="center"/>
          </w:tcPr>
          <w:p w14:paraId="386A7557">
            <w:pPr>
              <w:widowControl/>
              <w:spacing w:line="400" w:lineRule="exact"/>
              <w:textAlignment w:val="center"/>
              <w:rPr>
                <w:rFonts w:ascii="宋体" w:hAnsi="宋体" w:cs="宋体"/>
                <w:color w:val="000000"/>
                <w:sz w:val="24"/>
              </w:rPr>
            </w:pPr>
            <w:r>
              <w:rPr>
                <w:rFonts w:hint="eastAsia" w:ascii="宋体" w:hAnsi="宋体" w:cs="宋体"/>
                <w:color w:val="000000"/>
                <w:sz w:val="24"/>
              </w:rPr>
              <w:t>创文专项经费</w:t>
            </w:r>
          </w:p>
        </w:tc>
      </w:tr>
      <w:tr w14:paraId="7506A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782" w:type="dxa"/>
            <w:gridSpan w:val="5"/>
            <w:tcMar>
              <w:top w:w="15" w:type="dxa"/>
              <w:left w:w="15" w:type="dxa"/>
              <w:bottom w:w="0" w:type="dxa"/>
              <w:right w:w="15" w:type="dxa"/>
            </w:tcMar>
            <w:vAlign w:val="center"/>
          </w:tcPr>
          <w:p w14:paraId="1C2AB51C">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预算单位</w:t>
            </w:r>
          </w:p>
        </w:tc>
        <w:tc>
          <w:tcPr>
            <w:tcW w:w="6555" w:type="dxa"/>
            <w:gridSpan w:val="3"/>
            <w:tcMar>
              <w:top w:w="15" w:type="dxa"/>
              <w:left w:w="15" w:type="dxa"/>
              <w:bottom w:w="0" w:type="dxa"/>
              <w:right w:w="15" w:type="dxa"/>
            </w:tcMar>
            <w:vAlign w:val="center"/>
          </w:tcPr>
          <w:p w14:paraId="4CD2B118">
            <w:pPr>
              <w:widowControl/>
              <w:spacing w:line="400" w:lineRule="exact"/>
              <w:textAlignment w:val="center"/>
              <w:rPr>
                <w:rFonts w:ascii="宋体" w:hAnsi="宋体" w:cs="宋体"/>
                <w:color w:val="000000"/>
                <w:sz w:val="24"/>
              </w:rPr>
            </w:pPr>
            <w:r>
              <w:rPr>
                <w:rFonts w:hint="eastAsia" w:ascii="宋体" w:hAnsi="宋体" w:cs="宋体"/>
                <w:color w:val="000000"/>
                <w:sz w:val="24"/>
              </w:rPr>
              <w:t>党工委办公室</w:t>
            </w:r>
          </w:p>
        </w:tc>
      </w:tr>
      <w:tr w14:paraId="281EE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restart"/>
            <w:tcMar>
              <w:top w:w="15" w:type="dxa"/>
              <w:left w:w="15" w:type="dxa"/>
              <w:bottom w:w="0" w:type="dxa"/>
              <w:right w:w="15" w:type="dxa"/>
            </w:tcMar>
            <w:vAlign w:val="center"/>
          </w:tcPr>
          <w:p w14:paraId="03F24218">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77" w:type="dxa"/>
            <w:gridSpan w:val="4"/>
            <w:tcMar>
              <w:top w:w="15" w:type="dxa"/>
              <w:left w:w="15" w:type="dxa"/>
              <w:bottom w:w="0" w:type="dxa"/>
              <w:right w:w="15" w:type="dxa"/>
            </w:tcMar>
            <w:vAlign w:val="center"/>
          </w:tcPr>
          <w:p w14:paraId="18984E2C">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预算数:</w:t>
            </w:r>
          </w:p>
        </w:tc>
        <w:tc>
          <w:tcPr>
            <w:tcW w:w="2131" w:type="dxa"/>
            <w:tcMar>
              <w:top w:w="15" w:type="dxa"/>
              <w:left w:w="15" w:type="dxa"/>
              <w:bottom w:w="0" w:type="dxa"/>
              <w:right w:w="15" w:type="dxa"/>
            </w:tcMar>
            <w:vAlign w:val="center"/>
          </w:tcPr>
          <w:p w14:paraId="7467A159">
            <w:pPr>
              <w:widowControl/>
              <w:spacing w:line="400" w:lineRule="exact"/>
              <w:textAlignment w:val="center"/>
              <w:rPr>
                <w:rFonts w:ascii="宋体" w:hAnsi="宋体" w:cs="宋体"/>
                <w:color w:val="000000"/>
                <w:sz w:val="24"/>
              </w:rPr>
            </w:pPr>
            <w:r>
              <w:rPr>
                <w:rFonts w:hint="eastAsia" w:ascii="宋体" w:hAnsi="宋体" w:cs="宋体"/>
                <w:color w:val="000000"/>
                <w:sz w:val="24"/>
              </w:rPr>
              <w:t>7.92万元</w:t>
            </w:r>
          </w:p>
        </w:tc>
        <w:tc>
          <w:tcPr>
            <w:tcW w:w="2212" w:type="dxa"/>
            <w:tcMar>
              <w:top w:w="15" w:type="dxa"/>
              <w:left w:w="15" w:type="dxa"/>
              <w:bottom w:w="0" w:type="dxa"/>
              <w:right w:w="15" w:type="dxa"/>
            </w:tcMar>
            <w:vAlign w:val="center"/>
          </w:tcPr>
          <w:p w14:paraId="70219552">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执行数:</w:t>
            </w:r>
          </w:p>
        </w:tc>
        <w:tc>
          <w:tcPr>
            <w:tcW w:w="2212" w:type="dxa"/>
            <w:tcMar>
              <w:top w:w="15" w:type="dxa"/>
              <w:left w:w="15" w:type="dxa"/>
              <w:bottom w:w="0" w:type="dxa"/>
              <w:right w:w="15" w:type="dxa"/>
            </w:tcMar>
            <w:vAlign w:val="center"/>
          </w:tcPr>
          <w:p w14:paraId="034FC86F">
            <w:pPr>
              <w:widowControl/>
              <w:spacing w:line="400" w:lineRule="exact"/>
              <w:textAlignment w:val="center"/>
              <w:rPr>
                <w:rFonts w:ascii="宋体" w:hAnsi="宋体" w:cs="宋体"/>
                <w:color w:val="000000"/>
                <w:sz w:val="24"/>
              </w:rPr>
            </w:pPr>
            <w:r>
              <w:rPr>
                <w:rFonts w:hint="eastAsia" w:ascii="宋体" w:hAnsi="宋体" w:cs="宋体"/>
                <w:color w:val="000000"/>
                <w:sz w:val="24"/>
              </w:rPr>
              <w:t>7.69万元</w:t>
            </w:r>
          </w:p>
        </w:tc>
      </w:tr>
      <w:tr w14:paraId="72629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continue"/>
            <w:vAlign w:val="center"/>
          </w:tcPr>
          <w:p w14:paraId="2B7F979B">
            <w:pPr>
              <w:widowControl/>
              <w:spacing w:line="400" w:lineRule="exact"/>
              <w:rPr>
                <w:rFonts w:ascii="宋体" w:hAnsi="宋体" w:cs="宋体"/>
                <w:color w:val="000000"/>
                <w:sz w:val="24"/>
              </w:rPr>
            </w:pPr>
          </w:p>
        </w:tc>
        <w:tc>
          <w:tcPr>
            <w:tcW w:w="1977" w:type="dxa"/>
            <w:gridSpan w:val="4"/>
            <w:tcMar>
              <w:top w:w="15" w:type="dxa"/>
              <w:left w:w="15" w:type="dxa"/>
              <w:bottom w:w="0" w:type="dxa"/>
              <w:right w:w="15" w:type="dxa"/>
            </w:tcMar>
            <w:vAlign w:val="center"/>
          </w:tcPr>
          <w:p w14:paraId="3AAF6B49">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其中-财政拨款:</w:t>
            </w:r>
          </w:p>
        </w:tc>
        <w:tc>
          <w:tcPr>
            <w:tcW w:w="2131" w:type="dxa"/>
            <w:tcMar>
              <w:top w:w="15" w:type="dxa"/>
              <w:left w:w="15" w:type="dxa"/>
              <w:bottom w:w="0" w:type="dxa"/>
              <w:right w:w="15" w:type="dxa"/>
            </w:tcMar>
            <w:vAlign w:val="center"/>
          </w:tcPr>
          <w:p w14:paraId="54F5B7B7">
            <w:pPr>
              <w:widowControl/>
              <w:spacing w:line="400" w:lineRule="exact"/>
              <w:ind w:firstLine="826" w:firstLineChars="350"/>
              <w:textAlignment w:val="center"/>
              <w:rPr>
                <w:rFonts w:ascii="宋体" w:hAnsi="宋体" w:cs="宋体"/>
                <w:color w:val="000000"/>
                <w:sz w:val="24"/>
              </w:rPr>
            </w:pPr>
            <w:r>
              <w:rPr>
                <w:rFonts w:hint="eastAsia" w:ascii="宋体" w:hAnsi="宋体" w:cs="宋体"/>
                <w:color w:val="000000"/>
                <w:sz w:val="24"/>
              </w:rPr>
              <w:t>7.92万元</w:t>
            </w:r>
          </w:p>
        </w:tc>
        <w:tc>
          <w:tcPr>
            <w:tcW w:w="2212" w:type="dxa"/>
            <w:tcMar>
              <w:top w:w="15" w:type="dxa"/>
              <w:left w:w="15" w:type="dxa"/>
              <w:bottom w:w="0" w:type="dxa"/>
              <w:right w:w="15" w:type="dxa"/>
            </w:tcMar>
            <w:vAlign w:val="center"/>
          </w:tcPr>
          <w:p w14:paraId="5D480230">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其中-财政拨款:</w:t>
            </w:r>
          </w:p>
        </w:tc>
        <w:tc>
          <w:tcPr>
            <w:tcW w:w="2212" w:type="dxa"/>
            <w:tcMar>
              <w:top w:w="15" w:type="dxa"/>
              <w:left w:w="15" w:type="dxa"/>
              <w:bottom w:w="0" w:type="dxa"/>
              <w:right w:w="15" w:type="dxa"/>
            </w:tcMar>
            <w:vAlign w:val="center"/>
          </w:tcPr>
          <w:p w14:paraId="510100FF">
            <w:pPr>
              <w:widowControl/>
              <w:spacing w:line="400" w:lineRule="exact"/>
              <w:textAlignment w:val="center"/>
              <w:rPr>
                <w:rFonts w:ascii="宋体" w:hAnsi="宋体" w:cs="宋体"/>
                <w:color w:val="000000"/>
                <w:sz w:val="24"/>
              </w:rPr>
            </w:pPr>
            <w:r>
              <w:rPr>
                <w:rFonts w:hint="eastAsia" w:ascii="宋体" w:hAnsi="宋体" w:cs="宋体"/>
                <w:color w:val="000000"/>
                <w:sz w:val="24"/>
              </w:rPr>
              <w:t>7.69万元</w:t>
            </w:r>
          </w:p>
        </w:tc>
      </w:tr>
      <w:tr w14:paraId="374CB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05" w:type="dxa"/>
            <w:vMerge w:val="continue"/>
            <w:vAlign w:val="center"/>
          </w:tcPr>
          <w:p w14:paraId="39F44A48">
            <w:pPr>
              <w:widowControl/>
              <w:spacing w:line="400" w:lineRule="exact"/>
              <w:rPr>
                <w:rFonts w:ascii="宋体" w:hAnsi="宋体" w:cs="宋体"/>
                <w:color w:val="000000"/>
                <w:sz w:val="24"/>
              </w:rPr>
            </w:pPr>
          </w:p>
        </w:tc>
        <w:tc>
          <w:tcPr>
            <w:tcW w:w="1977" w:type="dxa"/>
            <w:gridSpan w:val="4"/>
            <w:tcMar>
              <w:top w:w="15" w:type="dxa"/>
              <w:left w:w="15" w:type="dxa"/>
              <w:bottom w:w="0" w:type="dxa"/>
              <w:right w:w="15" w:type="dxa"/>
            </w:tcMar>
            <w:vAlign w:val="center"/>
          </w:tcPr>
          <w:p w14:paraId="5FEC2575">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其它资金:</w:t>
            </w:r>
          </w:p>
        </w:tc>
        <w:tc>
          <w:tcPr>
            <w:tcW w:w="2131" w:type="dxa"/>
            <w:tcMar>
              <w:top w:w="15" w:type="dxa"/>
              <w:left w:w="15" w:type="dxa"/>
              <w:bottom w:w="0" w:type="dxa"/>
              <w:right w:w="15" w:type="dxa"/>
            </w:tcMar>
            <w:vAlign w:val="center"/>
          </w:tcPr>
          <w:p w14:paraId="186E2951">
            <w:pPr>
              <w:widowControl/>
              <w:spacing w:line="400" w:lineRule="exact"/>
              <w:textAlignment w:val="center"/>
              <w:rPr>
                <w:rFonts w:ascii="宋体" w:hAnsi="宋体" w:cs="宋体"/>
                <w:color w:val="000000"/>
                <w:sz w:val="24"/>
              </w:rPr>
            </w:pPr>
            <w:r>
              <w:rPr>
                <w:rFonts w:hint="eastAsia" w:ascii="宋体" w:hAnsi="宋体" w:cs="宋体"/>
                <w:color w:val="000000"/>
                <w:sz w:val="24"/>
              </w:rPr>
              <w:t>0</w:t>
            </w:r>
          </w:p>
        </w:tc>
        <w:tc>
          <w:tcPr>
            <w:tcW w:w="2212" w:type="dxa"/>
            <w:tcMar>
              <w:top w:w="15" w:type="dxa"/>
              <w:left w:w="15" w:type="dxa"/>
              <w:bottom w:w="0" w:type="dxa"/>
              <w:right w:w="15" w:type="dxa"/>
            </w:tcMar>
            <w:vAlign w:val="center"/>
          </w:tcPr>
          <w:p w14:paraId="2FD61D8E">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其它资金:</w:t>
            </w:r>
          </w:p>
        </w:tc>
        <w:tc>
          <w:tcPr>
            <w:tcW w:w="2212" w:type="dxa"/>
            <w:tcMar>
              <w:top w:w="15" w:type="dxa"/>
              <w:left w:w="15" w:type="dxa"/>
              <w:bottom w:w="0" w:type="dxa"/>
              <w:right w:w="15" w:type="dxa"/>
            </w:tcMar>
            <w:vAlign w:val="center"/>
          </w:tcPr>
          <w:p w14:paraId="42030EE8">
            <w:pPr>
              <w:spacing w:line="400" w:lineRule="exact"/>
              <w:rPr>
                <w:rFonts w:ascii="宋体" w:hAnsi="宋体" w:cs="宋体"/>
                <w:color w:val="000000"/>
                <w:sz w:val="24"/>
              </w:rPr>
            </w:pPr>
            <w:r>
              <w:rPr>
                <w:rFonts w:hint="eastAsia" w:ascii="宋体" w:hAnsi="宋体" w:cs="宋体"/>
                <w:color w:val="000000"/>
                <w:sz w:val="24"/>
              </w:rPr>
              <w:t>0</w:t>
            </w:r>
          </w:p>
        </w:tc>
      </w:tr>
      <w:tr w14:paraId="4DD17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5" w:type="dxa"/>
            <w:vMerge w:val="restart"/>
            <w:tcMar>
              <w:top w:w="15" w:type="dxa"/>
              <w:left w:w="15" w:type="dxa"/>
              <w:bottom w:w="0" w:type="dxa"/>
              <w:right w:w="15" w:type="dxa"/>
            </w:tcMar>
            <w:vAlign w:val="center"/>
          </w:tcPr>
          <w:p w14:paraId="3307F63B">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108" w:type="dxa"/>
            <w:gridSpan w:val="5"/>
            <w:tcMar>
              <w:top w:w="15" w:type="dxa"/>
              <w:left w:w="15" w:type="dxa"/>
              <w:bottom w:w="0" w:type="dxa"/>
              <w:right w:w="15" w:type="dxa"/>
            </w:tcMar>
            <w:vAlign w:val="center"/>
          </w:tcPr>
          <w:p w14:paraId="55A1668B">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预期目标</w:t>
            </w:r>
          </w:p>
        </w:tc>
        <w:tc>
          <w:tcPr>
            <w:tcW w:w="4424" w:type="dxa"/>
            <w:gridSpan w:val="2"/>
            <w:tcMar>
              <w:top w:w="15" w:type="dxa"/>
              <w:left w:w="15" w:type="dxa"/>
              <w:bottom w:w="0" w:type="dxa"/>
              <w:right w:w="15" w:type="dxa"/>
            </w:tcMar>
            <w:vAlign w:val="center"/>
          </w:tcPr>
          <w:p w14:paraId="2DC41099">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实际完成目标</w:t>
            </w:r>
          </w:p>
        </w:tc>
      </w:tr>
      <w:tr w14:paraId="21B7C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05" w:type="dxa"/>
            <w:vMerge w:val="continue"/>
            <w:vAlign w:val="center"/>
          </w:tcPr>
          <w:p w14:paraId="15DDA02A">
            <w:pPr>
              <w:widowControl/>
              <w:spacing w:line="400" w:lineRule="exact"/>
              <w:rPr>
                <w:rFonts w:ascii="宋体" w:hAnsi="宋体" w:cs="宋体"/>
                <w:color w:val="000000"/>
                <w:sz w:val="24"/>
              </w:rPr>
            </w:pPr>
          </w:p>
        </w:tc>
        <w:tc>
          <w:tcPr>
            <w:tcW w:w="4108" w:type="dxa"/>
            <w:gridSpan w:val="5"/>
            <w:tcMar>
              <w:top w:w="15" w:type="dxa"/>
              <w:left w:w="15" w:type="dxa"/>
              <w:bottom w:w="0" w:type="dxa"/>
              <w:right w:w="15" w:type="dxa"/>
            </w:tcMar>
            <w:vAlign w:val="center"/>
          </w:tcPr>
          <w:p w14:paraId="0D24D59D">
            <w:pPr>
              <w:tabs>
                <w:tab w:val="left" w:pos="312"/>
              </w:tabs>
              <w:spacing w:line="400" w:lineRule="exact"/>
              <w:ind w:firstLine="472" w:firstLineChars="200"/>
              <w:rPr>
                <w:rFonts w:ascii="宋体" w:hAnsi="宋体" w:cs="宋体"/>
                <w:color w:val="000000"/>
                <w:sz w:val="24"/>
              </w:rPr>
            </w:pPr>
            <w:r>
              <w:rPr>
                <w:rFonts w:hint="eastAsia" w:ascii="宋体" w:hAnsi="宋体" w:cs="宋体"/>
                <w:color w:val="000000"/>
                <w:sz w:val="24"/>
              </w:rPr>
              <w:t>通过国家文明城市省级专家暗访和技术评估。</w:t>
            </w:r>
          </w:p>
        </w:tc>
        <w:tc>
          <w:tcPr>
            <w:tcW w:w="4424" w:type="dxa"/>
            <w:gridSpan w:val="2"/>
            <w:tcMar>
              <w:top w:w="15" w:type="dxa"/>
              <w:left w:w="15" w:type="dxa"/>
              <w:bottom w:w="0" w:type="dxa"/>
              <w:right w:w="15" w:type="dxa"/>
            </w:tcMar>
            <w:vAlign w:val="center"/>
          </w:tcPr>
          <w:p w14:paraId="0740B892">
            <w:pPr>
              <w:tabs>
                <w:tab w:val="left" w:pos="312"/>
              </w:tabs>
              <w:spacing w:line="400" w:lineRule="exact"/>
              <w:rPr>
                <w:rFonts w:ascii="宋体" w:hAnsi="宋体" w:cs="宋体"/>
                <w:color w:val="000000"/>
                <w:sz w:val="24"/>
              </w:rPr>
            </w:pPr>
            <w:r>
              <w:rPr>
                <w:rFonts w:hint="eastAsia" w:ascii="宋体" w:hAnsi="宋体" w:cs="宋体"/>
                <w:color w:val="000000"/>
                <w:sz w:val="24"/>
              </w:rPr>
              <w:t>根据创文办要求按进度完成创文工作。</w:t>
            </w:r>
          </w:p>
        </w:tc>
      </w:tr>
      <w:tr w14:paraId="51BC8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05" w:type="dxa"/>
            <w:vMerge w:val="restart"/>
            <w:tcMar>
              <w:top w:w="15" w:type="dxa"/>
              <w:left w:w="15" w:type="dxa"/>
              <w:bottom w:w="0" w:type="dxa"/>
              <w:right w:w="15" w:type="dxa"/>
            </w:tcMar>
            <w:vAlign w:val="center"/>
          </w:tcPr>
          <w:p w14:paraId="19728332">
            <w:pPr>
              <w:widowControl/>
              <w:spacing w:line="400" w:lineRule="exact"/>
              <w:textAlignment w:val="center"/>
              <w:rPr>
                <w:rFonts w:ascii="宋体" w:hAnsi="宋体" w:cs="宋体"/>
                <w:color w:val="000000"/>
                <w:sz w:val="24"/>
              </w:rPr>
            </w:pPr>
            <w:r>
              <w:rPr>
                <w:rFonts w:hint="eastAsia" w:ascii="宋体" w:hAnsi="宋体" w:cs="宋体"/>
                <w:color w:val="000000"/>
                <w:sz w:val="24"/>
              </w:rPr>
              <w:t>绩效指标完成情况</w:t>
            </w:r>
          </w:p>
        </w:tc>
        <w:tc>
          <w:tcPr>
            <w:tcW w:w="952" w:type="dxa"/>
            <w:gridSpan w:val="2"/>
            <w:tcMar>
              <w:top w:w="15" w:type="dxa"/>
              <w:left w:w="15" w:type="dxa"/>
              <w:bottom w:w="0" w:type="dxa"/>
              <w:right w:w="15" w:type="dxa"/>
            </w:tcMar>
            <w:vAlign w:val="center"/>
          </w:tcPr>
          <w:p w14:paraId="52950AEE">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gridSpan w:val="2"/>
            <w:tcMar>
              <w:top w:w="15" w:type="dxa"/>
              <w:left w:w="15" w:type="dxa"/>
              <w:bottom w:w="0" w:type="dxa"/>
              <w:right w:w="15" w:type="dxa"/>
            </w:tcMar>
            <w:vAlign w:val="center"/>
          </w:tcPr>
          <w:p w14:paraId="60372460">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二级指标</w:t>
            </w:r>
          </w:p>
        </w:tc>
        <w:tc>
          <w:tcPr>
            <w:tcW w:w="2131" w:type="dxa"/>
            <w:tcMar>
              <w:top w:w="15" w:type="dxa"/>
              <w:left w:w="15" w:type="dxa"/>
              <w:bottom w:w="0" w:type="dxa"/>
              <w:right w:w="15" w:type="dxa"/>
            </w:tcMar>
            <w:vAlign w:val="center"/>
          </w:tcPr>
          <w:p w14:paraId="0C4F23B2">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三级指标</w:t>
            </w:r>
          </w:p>
        </w:tc>
        <w:tc>
          <w:tcPr>
            <w:tcW w:w="2212" w:type="dxa"/>
            <w:tcMar>
              <w:top w:w="15" w:type="dxa"/>
              <w:left w:w="15" w:type="dxa"/>
              <w:bottom w:w="0" w:type="dxa"/>
              <w:right w:w="15" w:type="dxa"/>
            </w:tcMar>
            <w:vAlign w:val="center"/>
          </w:tcPr>
          <w:p w14:paraId="51A30C0C">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212" w:type="dxa"/>
            <w:tcMar>
              <w:top w:w="15" w:type="dxa"/>
              <w:left w:w="15" w:type="dxa"/>
              <w:bottom w:w="0" w:type="dxa"/>
              <w:right w:w="15" w:type="dxa"/>
            </w:tcMar>
            <w:vAlign w:val="center"/>
          </w:tcPr>
          <w:p w14:paraId="2A860716">
            <w:pPr>
              <w:widowControl/>
              <w:spacing w:line="400" w:lineRule="exact"/>
              <w:textAlignment w:val="center"/>
              <w:rPr>
                <w:rFonts w:ascii="宋体" w:hAnsi="宋体" w:cs="宋体"/>
                <w:color w:val="000000"/>
                <w:sz w:val="24"/>
                <w:highlight w:val="yellow"/>
              </w:rPr>
            </w:pPr>
            <w:r>
              <w:rPr>
                <w:rFonts w:hint="eastAsia" w:ascii="宋体" w:hAnsi="宋体" w:cs="宋体"/>
                <w:color w:val="000000"/>
                <w:kern w:val="0"/>
                <w:sz w:val="24"/>
              </w:rPr>
              <w:t>实际完成指标值(包含数字及文字描述)</w:t>
            </w:r>
          </w:p>
        </w:tc>
      </w:tr>
      <w:tr w14:paraId="1C317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805" w:type="dxa"/>
            <w:vMerge w:val="continue"/>
            <w:vAlign w:val="center"/>
          </w:tcPr>
          <w:p w14:paraId="50C25F32">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5D6F54A9">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4A84657E">
            <w:pPr>
              <w:widowControl/>
              <w:spacing w:line="400" w:lineRule="exact"/>
              <w:textAlignment w:val="center"/>
              <w:rPr>
                <w:rFonts w:ascii="宋体" w:hAnsi="宋体" w:cs="宋体"/>
                <w:color w:val="000000"/>
                <w:sz w:val="24"/>
              </w:rPr>
            </w:pPr>
            <w:r>
              <w:rPr>
                <w:rFonts w:hint="eastAsia" w:ascii="宋体" w:hAnsi="宋体" w:cs="宋体"/>
                <w:color w:val="000000"/>
                <w:sz w:val="24"/>
              </w:rPr>
              <w:t>数量指标</w:t>
            </w:r>
          </w:p>
        </w:tc>
        <w:tc>
          <w:tcPr>
            <w:tcW w:w="2131" w:type="dxa"/>
            <w:tcMar>
              <w:top w:w="15" w:type="dxa"/>
              <w:left w:w="15" w:type="dxa"/>
              <w:bottom w:w="0" w:type="dxa"/>
              <w:right w:w="15" w:type="dxa"/>
            </w:tcMar>
            <w:vAlign w:val="center"/>
          </w:tcPr>
          <w:p w14:paraId="388E9691">
            <w:pPr>
              <w:widowControl/>
              <w:spacing w:line="400" w:lineRule="exact"/>
              <w:textAlignment w:val="center"/>
              <w:rPr>
                <w:rFonts w:ascii="宋体" w:hAnsi="宋体" w:cs="宋体"/>
                <w:color w:val="000000"/>
                <w:sz w:val="24"/>
              </w:rPr>
            </w:pPr>
            <w:r>
              <w:rPr>
                <w:rFonts w:hint="eastAsia" w:ascii="宋体" w:hAnsi="宋体" w:cs="宋体"/>
                <w:color w:val="000000"/>
                <w:sz w:val="24"/>
              </w:rPr>
              <w:t>创文宣传栏、立体标识牌制作</w:t>
            </w:r>
          </w:p>
        </w:tc>
        <w:tc>
          <w:tcPr>
            <w:tcW w:w="2212" w:type="dxa"/>
            <w:tcMar>
              <w:top w:w="15" w:type="dxa"/>
              <w:left w:w="15" w:type="dxa"/>
              <w:bottom w:w="0" w:type="dxa"/>
              <w:right w:w="15" w:type="dxa"/>
            </w:tcMar>
            <w:vAlign w:val="center"/>
          </w:tcPr>
          <w:p w14:paraId="3A386C28">
            <w:pPr>
              <w:spacing w:line="400" w:lineRule="exact"/>
              <w:rPr>
                <w:rFonts w:ascii="宋体" w:hAnsi="宋体" w:cs="宋体"/>
                <w:color w:val="000000"/>
                <w:sz w:val="24"/>
              </w:rPr>
            </w:pPr>
            <w:r>
              <w:rPr>
                <w:rFonts w:hint="eastAsia" w:ascii="宋体" w:hAnsi="宋体" w:cs="宋体"/>
                <w:color w:val="000000"/>
                <w:sz w:val="24"/>
              </w:rPr>
              <w:t>≥5套</w:t>
            </w:r>
          </w:p>
        </w:tc>
        <w:tc>
          <w:tcPr>
            <w:tcW w:w="2212" w:type="dxa"/>
            <w:tcMar>
              <w:top w:w="15" w:type="dxa"/>
              <w:left w:w="15" w:type="dxa"/>
              <w:bottom w:w="0" w:type="dxa"/>
              <w:right w:w="15" w:type="dxa"/>
            </w:tcMar>
            <w:vAlign w:val="center"/>
          </w:tcPr>
          <w:p w14:paraId="05E579DD">
            <w:pPr>
              <w:spacing w:line="400" w:lineRule="exact"/>
              <w:rPr>
                <w:rFonts w:ascii="宋体" w:hAnsi="宋体" w:cs="宋体"/>
                <w:color w:val="000000"/>
                <w:sz w:val="24"/>
              </w:rPr>
            </w:pPr>
            <w:r>
              <w:rPr>
                <w:rFonts w:hint="eastAsia" w:ascii="宋体" w:hAnsi="宋体" w:cs="宋体"/>
                <w:color w:val="000000"/>
                <w:sz w:val="24"/>
              </w:rPr>
              <w:t>5套</w:t>
            </w:r>
          </w:p>
        </w:tc>
      </w:tr>
      <w:tr w14:paraId="4C9A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805" w:type="dxa"/>
            <w:vMerge w:val="continue"/>
            <w:vAlign w:val="center"/>
          </w:tcPr>
          <w:p w14:paraId="293B35A0">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70D37C54">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023459C8">
            <w:pPr>
              <w:widowControl/>
              <w:spacing w:line="400" w:lineRule="exact"/>
              <w:textAlignment w:val="center"/>
              <w:rPr>
                <w:rFonts w:ascii="宋体" w:hAnsi="宋体" w:cs="宋体"/>
                <w:color w:val="000000"/>
                <w:sz w:val="24"/>
              </w:rPr>
            </w:pPr>
            <w:r>
              <w:rPr>
                <w:rFonts w:hint="eastAsia" w:ascii="宋体" w:hAnsi="宋体" w:cs="宋体"/>
                <w:color w:val="000000"/>
                <w:sz w:val="24"/>
              </w:rPr>
              <w:t>数量指标</w:t>
            </w:r>
          </w:p>
        </w:tc>
        <w:tc>
          <w:tcPr>
            <w:tcW w:w="2131" w:type="dxa"/>
            <w:tcMar>
              <w:top w:w="15" w:type="dxa"/>
              <w:left w:w="15" w:type="dxa"/>
              <w:bottom w:w="0" w:type="dxa"/>
              <w:right w:w="15" w:type="dxa"/>
            </w:tcMar>
            <w:vAlign w:val="center"/>
          </w:tcPr>
          <w:p w14:paraId="343589C6">
            <w:pPr>
              <w:spacing w:line="400" w:lineRule="exact"/>
              <w:rPr>
                <w:rFonts w:ascii="宋体" w:hAnsi="宋体" w:cs="宋体"/>
                <w:color w:val="000000"/>
                <w:sz w:val="24"/>
              </w:rPr>
            </w:pPr>
            <w:r>
              <w:rPr>
                <w:rFonts w:hint="eastAsia" w:ascii="宋体" w:hAnsi="宋体" w:cs="宋体"/>
                <w:color w:val="000000"/>
                <w:sz w:val="24"/>
              </w:rPr>
              <w:t>工作督导手册印刷</w:t>
            </w:r>
          </w:p>
        </w:tc>
        <w:tc>
          <w:tcPr>
            <w:tcW w:w="2212" w:type="dxa"/>
            <w:tcMar>
              <w:top w:w="15" w:type="dxa"/>
              <w:left w:w="15" w:type="dxa"/>
              <w:bottom w:w="0" w:type="dxa"/>
              <w:right w:w="15" w:type="dxa"/>
            </w:tcMar>
            <w:vAlign w:val="center"/>
          </w:tcPr>
          <w:p w14:paraId="5685C31D">
            <w:pPr>
              <w:spacing w:line="400" w:lineRule="exact"/>
              <w:rPr>
                <w:rFonts w:ascii="宋体" w:hAnsi="宋体" w:cs="宋体"/>
                <w:color w:val="000000"/>
                <w:sz w:val="24"/>
              </w:rPr>
            </w:pPr>
            <w:r>
              <w:rPr>
                <w:rFonts w:hint="eastAsia" w:ascii="宋体" w:hAnsi="宋体" w:cs="宋体"/>
                <w:color w:val="000000"/>
                <w:sz w:val="24"/>
              </w:rPr>
              <w:t>≥500份</w:t>
            </w:r>
          </w:p>
        </w:tc>
        <w:tc>
          <w:tcPr>
            <w:tcW w:w="2212" w:type="dxa"/>
            <w:tcMar>
              <w:top w:w="15" w:type="dxa"/>
              <w:left w:w="15" w:type="dxa"/>
              <w:bottom w:w="0" w:type="dxa"/>
              <w:right w:w="15" w:type="dxa"/>
            </w:tcMar>
            <w:vAlign w:val="center"/>
          </w:tcPr>
          <w:p w14:paraId="1CAFD771">
            <w:pPr>
              <w:spacing w:line="400" w:lineRule="exact"/>
              <w:rPr>
                <w:rFonts w:ascii="宋体" w:hAnsi="宋体" w:cs="宋体"/>
                <w:sz w:val="24"/>
              </w:rPr>
            </w:pPr>
            <w:r>
              <w:rPr>
                <w:rFonts w:hint="eastAsia" w:ascii="宋体" w:hAnsi="宋体" w:cs="宋体"/>
                <w:sz w:val="24"/>
              </w:rPr>
              <w:t>566份</w:t>
            </w:r>
          </w:p>
        </w:tc>
      </w:tr>
      <w:tr w14:paraId="2DFF6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805" w:type="dxa"/>
            <w:vMerge w:val="continue"/>
            <w:vAlign w:val="center"/>
          </w:tcPr>
          <w:p w14:paraId="55A1BD39">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3CC69B0E">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23AFA5F4">
            <w:pPr>
              <w:widowControl/>
              <w:spacing w:line="400" w:lineRule="exact"/>
              <w:textAlignment w:val="center"/>
              <w:rPr>
                <w:rFonts w:ascii="宋体" w:hAnsi="宋体" w:cs="宋体"/>
                <w:color w:val="000000"/>
                <w:sz w:val="24"/>
              </w:rPr>
            </w:pPr>
            <w:r>
              <w:rPr>
                <w:rFonts w:hint="eastAsia" w:ascii="宋体" w:hAnsi="宋体" w:cs="宋体"/>
                <w:color w:val="000000"/>
                <w:sz w:val="24"/>
              </w:rPr>
              <w:t>数量指标</w:t>
            </w:r>
          </w:p>
        </w:tc>
        <w:tc>
          <w:tcPr>
            <w:tcW w:w="2131" w:type="dxa"/>
            <w:tcMar>
              <w:top w:w="15" w:type="dxa"/>
              <w:left w:w="15" w:type="dxa"/>
              <w:bottom w:w="0" w:type="dxa"/>
              <w:right w:w="15" w:type="dxa"/>
            </w:tcMar>
            <w:vAlign w:val="center"/>
          </w:tcPr>
          <w:p w14:paraId="3A9194C1">
            <w:pPr>
              <w:widowControl/>
              <w:spacing w:line="400" w:lineRule="exact"/>
              <w:textAlignment w:val="center"/>
              <w:rPr>
                <w:rFonts w:ascii="宋体" w:hAnsi="宋体" w:cs="宋体"/>
                <w:color w:val="000000"/>
                <w:sz w:val="24"/>
              </w:rPr>
            </w:pPr>
            <w:r>
              <w:rPr>
                <w:rFonts w:hint="eastAsia" w:ascii="宋体" w:hAnsi="宋体" w:cs="宋体"/>
                <w:color w:val="000000"/>
                <w:sz w:val="24"/>
              </w:rPr>
              <w:t>《乐山市民文明手册》印刷</w:t>
            </w:r>
          </w:p>
        </w:tc>
        <w:tc>
          <w:tcPr>
            <w:tcW w:w="2212" w:type="dxa"/>
            <w:tcMar>
              <w:top w:w="15" w:type="dxa"/>
              <w:left w:w="15" w:type="dxa"/>
              <w:bottom w:w="0" w:type="dxa"/>
              <w:right w:w="15" w:type="dxa"/>
            </w:tcMar>
            <w:vAlign w:val="center"/>
          </w:tcPr>
          <w:p w14:paraId="0F683744">
            <w:pPr>
              <w:spacing w:line="400" w:lineRule="exact"/>
              <w:rPr>
                <w:rFonts w:ascii="宋体" w:hAnsi="宋体" w:cs="宋体"/>
                <w:color w:val="000000"/>
                <w:sz w:val="24"/>
              </w:rPr>
            </w:pPr>
            <w:r>
              <w:rPr>
                <w:rFonts w:hint="eastAsia" w:ascii="宋体" w:hAnsi="宋体" w:cs="宋体"/>
                <w:color w:val="000000"/>
                <w:sz w:val="24"/>
              </w:rPr>
              <w:t>≥10000份</w:t>
            </w:r>
          </w:p>
        </w:tc>
        <w:tc>
          <w:tcPr>
            <w:tcW w:w="2212" w:type="dxa"/>
            <w:tcMar>
              <w:top w:w="15" w:type="dxa"/>
              <w:left w:w="15" w:type="dxa"/>
              <w:bottom w:w="0" w:type="dxa"/>
              <w:right w:w="15" w:type="dxa"/>
            </w:tcMar>
            <w:vAlign w:val="center"/>
          </w:tcPr>
          <w:p w14:paraId="04CF5AF6">
            <w:pPr>
              <w:spacing w:line="400" w:lineRule="exact"/>
              <w:rPr>
                <w:rFonts w:ascii="宋体" w:hAnsi="宋体" w:cs="宋体"/>
                <w:color w:val="000000"/>
                <w:sz w:val="24"/>
              </w:rPr>
            </w:pPr>
            <w:r>
              <w:rPr>
                <w:rFonts w:hint="eastAsia" w:ascii="宋体" w:hAnsi="宋体" w:cs="宋体"/>
                <w:color w:val="000000"/>
                <w:sz w:val="24"/>
              </w:rPr>
              <w:t>11000</w:t>
            </w:r>
          </w:p>
        </w:tc>
      </w:tr>
      <w:tr w14:paraId="526ED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05" w:type="dxa"/>
            <w:vMerge w:val="continue"/>
            <w:vAlign w:val="center"/>
          </w:tcPr>
          <w:p w14:paraId="615665C2">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2064131D">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Mar>
              <w:top w:w="15" w:type="dxa"/>
              <w:left w:w="15" w:type="dxa"/>
              <w:bottom w:w="0" w:type="dxa"/>
              <w:right w:w="15" w:type="dxa"/>
            </w:tcMar>
            <w:vAlign w:val="center"/>
          </w:tcPr>
          <w:p w14:paraId="47DEE0B5">
            <w:pPr>
              <w:widowControl/>
              <w:spacing w:line="400" w:lineRule="exact"/>
              <w:textAlignment w:val="center"/>
              <w:rPr>
                <w:rFonts w:ascii="宋体" w:hAnsi="宋体" w:cs="宋体"/>
                <w:color w:val="000000"/>
                <w:sz w:val="24"/>
              </w:rPr>
            </w:pPr>
            <w:r>
              <w:rPr>
                <w:rFonts w:hint="eastAsia" w:ascii="宋体" w:hAnsi="宋体" w:cs="宋体"/>
                <w:color w:val="000000"/>
                <w:sz w:val="24"/>
              </w:rPr>
              <w:t>数量指标</w:t>
            </w:r>
          </w:p>
        </w:tc>
        <w:tc>
          <w:tcPr>
            <w:tcW w:w="2131" w:type="dxa"/>
            <w:tcMar>
              <w:top w:w="15" w:type="dxa"/>
              <w:left w:w="15" w:type="dxa"/>
              <w:bottom w:w="0" w:type="dxa"/>
              <w:right w:w="15" w:type="dxa"/>
            </w:tcMar>
            <w:vAlign w:val="center"/>
          </w:tcPr>
          <w:p w14:paraId="627128C0">
            <w:pPr>
              <w:widowControl/>
              <w:spacing w:line="400" w:lineRule="exact"/>
              <w:textAlignment w:val="center"/>
              <w:rPr>
                <w:rFonts w:ascii="宋体" w:hAnsi="宋体" w:cs="宋体"/>
                <w:color w:val="000000"/>
                <w:sz w:val="24"/>
              </w:rPr>
            </w:pPr>
            <w:r>
              <w:rPr>
                <w:rFonts w:hint="eastAsia" w:ascii="宋体" w:hAnsi="宋体" w:cs="宋体"/>
                <w:color w:val="000000"/>
                <w:sz w:val="24"/>
              </w:rPr>
              <w:t>宣传资料印刷</w:t>
            </w:r>
          </w:p>
        </w:tc>
        <w:tc>
          <w:tcPr>
            <w:tcW w:w="2212" w:type="dxa"/>
            <w:tcMar>
              <w:top w:w="15" w:type="dxa"/>
              <w:left w:w="15" w:type="dxa"/>
              <w:bottom w:w="0" w:type="dxa"/>
              <w:right w:w="15" w:type="dxa"/>
            </w:tcMar>
            <w:vAlign w:val="center"/>
          </w:tcPr>
          <w:p w14:paraId="145C346D">
            <w:pPr>
              <w:spacing w:line="400" w:lineRule="exact"/>
              <w:rPr>
                <w:rFonts w:ascii="宋体" w:hAnsi="宋体" w:cs="宋体"/>
                <w:color w:val="000000"/>
                <w:sz w:val="24"/>
              </w:rPr>
            </w:pPr>
            <w:r>
              <w:rPr>
                <w:rFonts w:hint="eastAsia" w:ascii="宋体" w:hAnsi="宋体" w:cs="宋体"/>
                <w:color w:val="000000"/>
                <w:sz w:val="24"/>
              </w:rPr>
              <w:t>≥15000份</w:t>
            </w:r>
          </w:p>
        </w:tc>
        <w:tc>
          <w:tcPr>
            <w:tcW w:w="2212" w:type="dxa"/>
            <w:tcMar>
              <w:top w:w="15" w:type="dxa"/>
              <w:left w:w="15" w:type="dxa"/>
              <w:bottom w:w="0" w:type="dxa"/>
              <w:right w:w="15" w:type="dxa"/>
            </w:tcMar>
            <w:vAlign w:val="center"/>
          </w:tcPr>
          <w:p w14:paraId="1261F14F">
            <w:pPr>
              <w:spacing w:line="400" w:lineRule="exact"/>
              <w:rPr>
                <w:rFonts w:ascii="宋体" w:hAnsi="宋体" w:cs="宋体"/>
                <w:color w:val="000000"/>
                <w:sz w:val="24"/>
                <w:highlight w:val="yellow"/>
              </w:rPr>
            </w:pPr>
            <w:r>
              <w:rPr>
                <w:rFonts w:hint="eastAsia" w:ascii="宋体" w:hAnsi="宋体" w:cs="宋体"/>
                <w:color w:val="000000"/>
                <w:sz w:val="24"/>
              </w:rPr>
              <w:t>16000份</w:t>
            </w:r>
          </w:p>
        </w:tc>
      </w:tr>
      <w:tr w14:paraId="05B97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05" w:type="dxa"/>
            <w:vMerge w:val="continue"/>
            <w:vAlign w:val="center"/>
          </w:tcPr>
          <w:p w14:paraId="5A0828E9">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0FF41CE1">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gridSpan w:val="2"/>
            <w:tcMar>
              <w:top w:w="15" w:type="dxa"/>
              <w:left w:w="15" w:type="dxa"/>
              <w:bottom w:w="0" w:type="dxa"/>
              <w:right w:w="15" w:type="dxa"/>
            </w:tcMar>
            <w:vAlign w:val="center"/>
          </w:tcPr>
          <w:p w14:paraId="6035A46E">
            <w:pPr>
              <w:widowControl/>
              <w:spacing w:line="400" w:lineRule="exact"/>
              <w:textAlignment w:val="center"/>
              <w:rPr>
                <w:rFonts w:ascii="宋体" w:hAnsi="宋体" w:cs="宋体"/>
                <w:color w:val="000000"/>
                <w:sz w:val="24"/>
              </w:rPr>
            </w:pPr>
            <w:r>
              <w:rPr>
                <w:rFonts w:hint="eastAsia" w:ascii="宋体" w:hAnsi="宋体" w:cs="宋体"/>
                <w:color w:val="000000"/>
                <w:sz w:val="24"/>
              </w:rPr>
              <w:t>社会效益指标</w:t>
            </w:r>
          </w:p>
        </w:tc>
        <w:tc>
          <w:tcPr>
            <w:tcW w:w="2131" w:type="dxa"/>
            <w:tcMar>
              <w:top w:w="15" w:type="dxa"/>
              <w:left w:w="15" w:type="dxa"/>
              <w:bottom w:w="0" w:type="dxa"/>
              <w:right w:w="15" w:type="dxa"/>
            </w:tcMar>
            <w:vAlign w:val="center"/>
          </w:tcPr>
          <w:p w14:paraId="73A886EF">
            <w:pPr>
              <w:widowControl/>
              <w:spacing w:line="400" w:lineRule="exact"/>
              <w:textAlignment w:val="center"/>
              <w:rPr>
                <w:rFonts w:ascii="宋体" w:hAnsi="宋体" w:cs="宋体"/>
                <w:color w:val="000000"/>
                <w:sz w:val="24"/>
              </w:rPr>
            </w:pPr>
            <w:r>
              <w:rPr>
                <w:rFonts w:hint="eastAsia" w:ascii="宋体" w:hAnsi="宋体" w:cs="宋体"/>
                <w:color w:val="000000"/>
                <w:sz w:val="24"/>
              </w:rPr>
              <w:t>营造环境、氛围</w:t>
            </w:r>
          </w:p>
        </w:tc>
        <w:tc>
          <w:tcPr>
            <w:tcW w:w="2212" w:type="dxa"/>
            <w:tcMar>
              <w:top w:w="15" w:type="dxa"/>
              <w:left w:w="15" w:type="dxa"/>
              <w:bottom w:w="0" w:type="dxa"/>
              <w:right w:w="15" w:type="dxa"/>
            </w:tcMar>
            <w:vAlign w:val="center"/>
          </w:tcPr>
          <w:p w14:paraId="7DA5721A">
            <w:pPr>
              <w:spacing w:line="400" w:lineRule="exact"/>
              <w:rPr>
                <w:rFonts w:ascii="宋体" w:hAnsi="宋体" w:cs="宋体"/>
                <w:color w:val="000000"/>
                <w:sz w:val="24"/>
              </w:rPr>
            </w:pPr>
            <w:r>
              <w:rPr>
                <w:rFonts w:hint="eastAsia" w:ascii="宋体" w:hAnsi="宋体" w:cs="宋体"/>
                <w:color w:val="000000"/>
                <w:sz w:val="24"/>
              </w:rPr>
              <w:t>营造良好营商环境和浓厚创文氛围</w:t>
            </w:r>
          </w:p>
        </w:tc>
        <w:tc>
          <w:tcPr>
            <w:tcW w:w="2212" w:type="dxa"/>
            <w:tcMar>
              <w:top w:w="15" w:type="dxa"/>
              <w:left w:w="15" w:type="dxa"/>
              <w:bottom w:w="0" w:type="dxa"/>
              <w:right w:w="15" w:type="dxa"/>
            </w:tcMar>
            <w:vAlign w:val="center"/>
          </w:tcPr>
          <w:p w14:paraId="7BC30E5B">
            <w:pPr>
              <w:spacing w:line="400" w:lineRule="exact"/>
              <w:rPr>
                <w:rFonts w:ascii="宋体" w:hAnsi="宋体" w:cs="宋体"/>
                <w:color w:val="000000"/>
                <w:sz w:val="24"/>
                <w:highlight w:val="yellow"/>
              </w:rPr>
            </w:pPr>
            <w:r>
              <w:rPr>
                <w:rFonts w:hint="eastAsia" w:ascii="宋体" w:hAnsi="宋体" w:cs="宋体"/>
                <w:color w:val="000000"/>
                <w:sz w:val="24"/>
              </w:rPr>
              <w:t>提升区内营商环境，提高群众文明意识</w:t>
            </w:r>
          </w:p>
        </w:tc>
      </w:tr>
      <w:tr w14:paraId="6F0E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805" w:type="dxa"/>
            <w:vMerge w:val="continue"/>
            <w:vAlign w:val="center"/>
          </w:tcPr>
          <w:p w14:paraId="75350668">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4E5BB19F">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项目效益指标</w:t>
            </w:r>
          </w:p>
        </w:tc>
        <w:tc>
          <w:tcPr>
            <w:tcW w:w="1025" w:type="dxa"/>
            <w:gridSpan w:val="2"/>
            <w:tcMar>
              <w:top w:w="15" w:type="dxa"/>
              <w:left w:w="15" w:type="dxa"/>
              <w:bottom w:w="0" w:type="dxa"/>
              <w:right w:w="15" w:type="dxa"/>
            </w:tcMar>
            <w:vAlign w:val="center"/>
          </w:tcPr>
          <w:p w14:paraId="6CFCA46F">
            <w:pPr>
              <w:widowControl/>
              <w:spacing w:line="400" w:lineRule="exact"/>
              <w:textAlignment w:val="center"/>
              <w:rPr>
                <w:rFonts w:ascii="宋体" w:hAnsi="宋体" w:cs="宋体"/>
                <w:color w:val="000000"/>
                <w:sz w:val="24"/>
              </w:rPr>
            </w:pPr>
            <w:r>
              <w:rPr>
                <w:rFonts w:hint="eastAsia" w:ascii="宋体" w:hAnsi="宋体" w:cs="宋体"/>
                <w:color w:val="000000"/>
                <w:sz w:val="24"/>
              </w:rPr>
              <w:t>生态效益指标</w:t>
            </w:r>
          </w:p>
        </w:tc>
        <w:tc>
          <w:tcPr>
            <w:tcW w:w="2131" w:type="dxa"/>
            <w:tcMar>
              <w:top w:w="15" w:type="dxa"/>
              <w:left w:w="15" w:type="dxa"/>
              <w:bottom w:w="0" w:type="dxa"/>
              <w:right w:w="15" w:type="dxa"/>
            </w:tcMar>
            <w:vAlign w:val="center"/>
          </w:tcPr>
          <w:p w14:paraId="193F75F6">
            <w:pPr>
              <w:widowControl/>
              <w:spacing w:line="400" w:lineRule="exact"/>
              <w:textAlignment w:val="center"/>
              <w:rPr>
                <w:rFonts w:ascii="宋体" w:hAnsi="宋体" w:cs="宋体"/>
                <w:color w:val="000000"/>
                <w:sz w:val="24"/>
              </w:rPr>
            </w:pPr>
            <w:r>
              <w:rPr>
                <w:rFonts w:hint="eastAsia" w:ascii="宋体" w:hAnsi="宋体" w:cs="宋体"/>
                <w:color w:val="000000"/>
                <w:sz w:val="24"/>
              </w:rPr>
              <w:t>区内环境改善</w:t>
            </w:r>
          </w:p>
        </w:tc>
        <w:tc>
          <w:tcPr>
            <w:tcW w:w="2212" w:type="dxa"/>
            <w:tcMar>
              <w:top w:w="15" w:type="dxa"/>
              <w:left w:w="15" w:type="dxa"/>
              <w:bottom w:w="0" w:type="dxa"/>
              <w:right w:w="15" w:type="dxa"/>
            </w:tcMar>
            <w:vAlign w:val="center"/>
          </w:tcPr>
          <w:p w14:paraId="529CBBA2">
            <w:pPr>
              <w:widowControl/>
              <w:spacing w:line="400" w:lineRule="exact"/>
              <w:textAlignment w:val="center"/>
              <w:rPr>
                <w:rFonts w:ascii="宋体" w:hAnsi="宋体" w:cs="宋体"/>
                <w:color w:val="000000"/>
                <w:sz w:val="24"/>
              </w:rPr>
            </w:pPr>
            <w:r>
              <w:rPr>
                <w:rFonts w:hint="eastAsia" w:ascii="宋体" w:hAnsi="宋体" w:cs="宋体"/>
                <w:color w:val="000000"/>
                <w:sz w:val="24"/>
              </w:rPr>
              <w:t>以创建国家文明城市标准为基准，有效改善区内环境</w:t>
            </w:r>
          </w:p>
        </w:tc>
        <w:tc>
          <w:tcPr>
            <w:tcW w:w="2212" w:type="dxa"/>
            <w:tcMar>
              <w:top w:w="15" w:type="dxa"/>
              <w:left w:w="15" w:type="dxa"/>
              <w:bottom w:w="0" w:type="dxa"/>
              <w:right w:w="15" w:type="dxa"/>
            </w:tcMar>
            <w:vAlign w:val="center"/>
          </w:tcPr>
          <w:p w14:paraId="774F82A9">
            <w:pPr>
              <w:widowControl/>
              <w:spacing w:line="320" w:lineRule="exact"/>
              <w:textAlignment w:val="center"/>
              <w:rPr>
                <w:rFonts w:ascii="宋体" w:hAnsi="宋体" w:cs="宋体"/>
                <w:color w:val="000000"/>
                <w:sz w:val="24"/>
              </w:rPr>
            </w:pPr>
            <w:r>
              <w:rPr>
                <w:rFonts w:hint="eastAsia" w:ascii="宋体" w:hAnsi="宋体" w:cs="宋体"/>
                <w:color w:val="000000"/>
                <w:sz w:val="24"/>
              </w:rPr>
              <w:t>提高区内居住环境、经济环境，为群众解决不文明现象带来的困扰</w:t>
            </w:r>
          </w:p>
        </w:tc>
      </w:tr>
      <w:tr w14:paraId="30B9B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05" w:type="dxa"/>
            <w:vMerge w:val="continue"/>
            <w:vAlign w:val="center"/>
          </w:tcPr>
          <w:p w14:paraId="6FA8968B">
            <w:pPr>
              <w:widowControl/>
              <w:spacing w:line="400" w:lineRule="exact"/>
              <w:rPr>
                <w:rFonts w:ascii="宋体" w:hAnsi="宋体" w:cs="宋体"/>
                <w:color w:val="000000"/>
                <w:sz w:val="24"/>
              </w:rPr>
            </w:pPr>
          </w:p>
        </w:tc>
        <w:tc>
          <w:tcPr>
            <w:tcW w:w="952" w:type="dxa"/>
            <w:gridSpan w:val="2"/>
            <w:tcMar>
              <w:top w:w="15" w:type="dxa"/>
              <w:left w:w="15" w:type="dxa"/>
              <w:bottom w:w="0" w:type="dxa"/>
              <w:right w:w="15" w:type="dxa"/>
            </w:tcMar>
            <w:vAlign w:val="center"/>
          </w:tcPr>
          <w:p w14:paraId="6B823FFE">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gridSpan w:val="2"/>
            <w:tcMar>
              <w:top w:w="15" w:type="dxa"/>
              <w:left w:w="15" w:type="dxa"/>
              <w:bottom w:w="0" w:type="dxa"/>
              <w:right w:w="15" w:type="dxa"/>
            </w:tcMar>
            <w:vAlign w:val="center"/>
          </w:tcPr>
          <w:p w14:paraId="3CC00D9F">
            <w:pPr>
              <w:widowControl/>
              <w:spacing w:line="400" w:lineRule="exact"/>
              <w:textAlignment w:val="center"/>
              <w:rPr>
                <w:rFonts w:ascii="宋体" w:hAnsi="宋体" w:cs="宋体"/>
                <w:color w:val="000000"/>
                <w:sz w:val="24"/>
              </w:rPr>
            </w:pPr>
            <w:r>
              <w:rPr>
                <w:rFonts w:hint="eastAsia" w:ascii="宋体" w:hAnsi="宋体" w:cs="宋体"/>
                <w:color w:val="000000"/>
                <w:kern w:val="0"/>
                <w:sz w:val="24"/>
              </w:rPr>
              <w:t>满意度指标</w:t>
            </w:r>
          </w:p>
        </w:tc>
        <w:tc>
          <w:tcPr>
            <w:tcW w:w="2131" w:type="dxa"/>
            <w:tcMar>
              <w:top w:w="15" w:type="dxa"/>
              <w:left w:w="15" w:type="dxa"/>
              <w:bottom w:w="0" w:type="dxa"/>
              <w:right w:w="15" w:type="dxa"/>
            </w:tcMar>
            <w:vAlign w:val="center"/>
          </w:tcPr>
          <w:p w14:paraId="3448C3C0">
            <w:pPr>
              <w:widowControl/>
              <w:spacing w:line="400" w:lineRule="exact"/>
              <w:textAlignment w:val="center"/>
              <w:rPr>
                <w:rFonts w:ascii="宋体" w:hAnsi="宋体" w:cs="宋体"/>
                <w:color w:val="000000"/>
                <w:sz w:val="24"/>
              </w:rPr>
            </w:pPr>
            <w:r>
              <w:rPr>
                <w:rFonts w:hint="eastAsia" w:ascii="宋体" w:hAnsi="宋体" w:cs="宋体"/>
                <w:color w:val="000000"/>
                <w:sz w:val="24"/>
              </w:rPr>
              <w:t>群众、服务对象满意度</w:t>
            </w:r>
          </w:p>
        </w:tc>
        <w:tc>
          <w:tcPr>
            <w:tcW w:w="2212" w:type="dxa"/>
            <w:tcMar>
              <w:top w:w="15" w:type="dxa"/>
              <w:left w:w="15" w:type="dxa"/>
              <w:bottom w:w="0" w:type="dxa"/>
              <w:right w:w="15" w:type="dxa"/>
            </w:tcMar>
            <w:vAlign w:val="center"/>
          </w:tcPr>
          <w:p w14:paraId="34155691">
            <w:pPr>
              <w:spacing w:line="400" w:lineRule="exact"/>
              <w:rPr>
                <w:rFonts w:ascii="宋体" w:hAnsi="宋体" w:cs="宋体"/>
                <w:color w:val="000000"/>
                <w:sz w:val="24"/>
              </w:rPr>
            </w:pPr>
            <w:r>
              <w:rPr>
                <w:rFonts w:hint="eastAsia" w:ascii="宋体" w:hAnsi="宋体" w:cs="宋体"/>
                <w:color w:val="000000"/>
                <w:sz w:val="24"/>
              </w:rPr>
              <w:t>≥90%</w:t>
            </w:r>
          </w:p>
        </w:tc>
        <w:tc>
          <w:tcPr>
            <w:tcW w:w="2212" w:type="dxa"/>
            <w:tcMar>
              <w:top w:w="15" w:type="dxa"/>
              <w:left w:w="15" w:type="dxa"/>
              <w:bottom w:w="0" w:type="dxa"/>
              <w:right w:w="15" w:type="dxa"/>
            </w:tcMar>
            <w:vAlign w:val="center"/>
          </w:tcPr>
          <w:p w14:paraId="01CED033">
            <w:pPr>
              <w:spacing w:line="400" w:lineRule="exact"/>
              <w:ind w:firstLine="1062" w:firstLineChars="450"/>
              <w:rPr>
                <w:rFonts w:ascii="宋体" w:hAnsi="宋体" w:cs="宋体"/>
                <w:color w:val="000000"/>
                <w:sz w:val="24"/>
              </w:rPr>
            </w:pPr>
            <w:r>
              <w:rPr>
                <w:rFonts w:hint="eastAsia" w:ascii="宋体" w:hAnsi="宋体" w:cs="宋体"/>
                <w:color w:val="000000"/>
                <w:sz w:val="24"/>
              </w:rPr>
              <w:t>90%</w:t>
            </w:r>
          </w:p>
        </w:tc>
      </w:tr>
    </w:tbl>
    <w:p w14:paraId="26551FF5">
      <w:pPr>
        <w:spacing w:line="580" w:lineRule="exact"/>
        <w:rPr>
          <w:rFonts w:ascii="仿宋_GB2312" w:hAnsi="仿宋_GB2312" w:cs="仿宋_GB2312"/>
          <w:szCs w:val="32"/>
        </w:rPr>
      </w:pPr>
    </w:p>
    <w:p w14:paraId="2FBF4DF6"/>
    <w:p w14:paraId="4D70E768">
      <w:pPr>
        <w:ind w:firstLine="632" w:firstLineChars="200"/>
      </w:pPr>
      <w:r>
        <w:rPr>
          <w:rFonts w:hint="eastAsia"/>
        </w:rPr>
        <w:t>2.部门绩效评价结果。</w:t>
      </w:r>
    </w:p>
    <w:p w14:paraId="7CD6C363">
      <w:pPr>
        <w:ind w:firstLine="632" w:firstLineChars="200"/>
      </w:pPr>
      <w:r>
        <w:rPr>
          <w:rFonts w:hint="eastAsia"/>
        </w:rPr>
        <w:t>本部门按要求对2019年部门整体支出绩效评价情况开展自评，《高新区党工委办公室2019年部门整体支出绩效评价报告》见附件（附件1）。</w:t>
      </w:r>
    </w:p>
    <w:p w14:paraId="294EAFFD">
      <w:pPr>
        <w:widowControl/>
        <w:rPr>
          <w:rFonts w:ascii="仿宋_GB2312"/>
          <w:b/>
          <w:color w:val="000000"/>
          <w:szCs w:val="32"/>
        </w:rPr>
      </w:pPr>
      <w:r>
        <w:rPr>
          <w:rFonts w:ascii="仿宋_GB2312"/>
          <w:b/>
          <w:color w:val="000000"/>
          <w:szCs w:val="32"/>
        </w:rPr>
        <w:br w:type="page"/>
      </w:r>
    </w:p>
    <w:p w14:paraId="641D79EF">
      <w:pPr>
        <w:spacing w:line="600" w:lineRule="exact"/>
        <w:jc w:val="center"/>
        <w:rPr>
          <w:rFonts w:ascii="方正小标宋简体" w:hAnsi="黑体" w:eastAsia="方正小标宋简体"/>
          <w:color w:val="000000"/>
          <w:sz w:val="44"/>
          <w:szCs w:val="44"/>
        </w:rPr>
      </w:pPr>
      <w:bookmarkStart w:id="55" w:name="_Toc15377225"/>
      <w:bookmarkStart w:id="56" w:name="_Toc15396613"/>
      <w:r>
        <w:rPr>
          <w:rFonts w:hint="eastAsia" w:ascii="方正小标宋简体" w:hAnsi="黑体" w:eastAsia="方正小标宋简体"/>
          <w:color w:val="000000"/>
          <w:sz w:val="44"/>
          <w:szCs w:val="44"/>
        </w:rPr>
        <w:t>第三部分 名词解释</w:t>
      </w:r>
      <w:bookmarkEnd w:id="55"/>
      <w:bookmarkEnd w:id="56"/>
    </w:p>
    <w:p w14:paraId="46F02985">
      <w:pPr>
        <w:spacing w:line="600" w:lineRule="exact"/>
        <w:rPr>
          <w:rFonts w:ascii="宋体"/>
          <w:b/>
          <w:color w:val="000000"/>
          <w:sz w:val="44"/>
          <w:szCs w:val="44"/>
        </w:rPr>
      </w:pPr>
    </w:p>
    <w:p w14:paraId="2A61B8FE">
      <w:pPr>
        <w:ind w:firstLine="632" w:firstLineChars="200"/>
      </w:pPr>
      <w:r>
        <w:t>1.</w:t>
      </w:r>
      <w:r>
        <w:rPr>
          <w:rFonts w:hint="eastAsia"/>
        </w:rPr>
        <w:t>财政拨款收入：指单位从同级财政部门取得的财政预算资金。</w:t>
      </w:r>
    </w:p>
    <w:p w14:paraId="6D63B824">
      <w:pPr>
        <w:ind w:firstLine="632" w:firstLineChars="200"/>
      </w:pPr>
      <w:r>
        <w:t>2.</w:t>
      </w:r>
      <w:r>
        <w:rPr>
          <w:rFonts w:hint="eastAsia"/>
        </w:rPr>
        <w:t>事业收入：指事业单位开展专业业务活动及辅助活动取得的收入。</w:t>
      </w:r>
    </w:p>
    <w:p w14:paraId="091CC8C2">
      <w:pPr>
        <w:ind w:firstLine="632" w:firstLineChars="200"/>
      </w:pPr>
      <w:r>
        <w:t>3.</w:t>
      </w:r>
      <w:r>
        <w:rPr>
          <w:rFonts w:hint="eastAsia"/>
        </w:rPr>
        <w:t>经营收入：指事业单位在专业业务活动及其辅助活动之外开展非独立核算经营活动取得的收入。</w:t>
      </w:r>
    </w:p>
    <w:p w14:paraId="53FDCD37">
      <w:pPr>
        <w:ind w:firstLine="632" w:firstLineChars="200"/>
      </w:pPr>
      <w:r>
        <w:t>4.</w:t>
      </w:r>
      <w:r>
        <w:rPr>
          <w:rFonts w:hint="eastAsia"/>
        </w:rPr>
        <w:t>其他收入：指单位取得的除上述收入以外的各项收入。</w:t>
      </w:r>
    </w:p>
    <w:p w14:paraId="697550F1">
      <w:pPr>
        <w:ind w:firstLine="632" w:firstLineChars="200"/>
      </w:pPr>
      <w:r>
        <w:t>5.</w:t>
      </w:r>
      <w:r>
        <w:rPr>
          <w:rFonts w:hint="eastAsia"/>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B0C4423">
      <w:pPr>
        <w:ind w:firstLine="632" w:firstLineChars="200"/>
      </w:pPr>
      <w:r>
        <w:t>6.</w:t>
      </w:r>
      <w:r>
        <w:rPr>
          <w:rFonts w:hint="eastAsia"/>
        </w:rPr>
        <w:t>年初结转和结余：指以前年度尚未完成、结转到本年按有关规定继续使用的资金。</w:t>
      </w:r>
    </w:p>
    <w:p w14:paraId="37A8DEC0">
      <w:pPr>
        <w:ind w:firstLine="632" w:firstLineChars="200"/>
      </w:pPr>
      <w:r>
        <w:t>7.</w:t>
      </w:r>
      <w:r>
        <w:rPr>
          <w:rFonts w:hint="eastAsia"/>
        </w:rPr>
        <w:t>结余分配：指事业单位按照事业单位会计制度的规定从非财政补助结余中分配的事业基金和职工福利基金等。</w:t>
      </w:r>
    </w:p>
    <w:p w14:paraId="736FA64C">
      <w:pPr>
        <w:ind w:firstLine="632" w:firstLineChars="200"/>
      </w:pPr>
      <w:r>
        <w:t>8</w:t>
      </w:r>
      <w:r>
        <w:rPr>
          <w:rFonts w:hint="eastAsia"/>
        </w:rPr>
        <w:t>.年末结转和结余：指单位按有关规定结转到下年或以后年度继续使用的资金。</w:t>
      </w:r>
    </w:p>
    <w:p w14:paraId="4CFAE123">
      <w:pPr>
        <w:ind w:firstLine="632" w:firstLineChars="200"/>
      </w:pPr>
      <w:r>
        <w:t>9.</w:t>
      </w:r>
      <w:r>
        <w:rPr>
          <w:rFonts w:hint="eastAsia"/>
        </w:rPr>
        <w:t>一般公共服务（201）政府办公厅（室）及相关机构事务（03）行政运行（01）：指反映行政单位（包括实行公务员管理的事业单位）的基本支出。</w:t>
      </w:r>
    </w:p>
    <w:p w14:paraId="4CEBBA9B">
      <w:pPr>
        <w:ind w:firstLine="632" w:firstLineChars="200"/>
      </w:pPr>
      <w:r>
        <w:t>10.</w:t>
      </w:r>
      <w:r>
        <w:rPr>
          <w:rFonts w:hint="eastAsia"/>
        </w:rPr>
        <w:t>一般公共服务（201）政府办公厅（室）及相关机构事务（03）一般行政管理事务（02）：指反映行政单位（包括实行公务员管理的事业单位）未单独设置项级科目的其他项目支出。</w:t>
      </w:r>
    </w:p>
    <w:p w14:paraId="644C0495">
      <w:pPr>
        <w:ind w:firstLine="632" w:firstLineChars="200"/>
      </w:pPr>
      <w:r>
        <w:t>11.</w:t>
      </w:r>
      <w:r>
        <w:rPr>
          <w:rFonts w:hint="eastAsia"/>
        </w:rPr>
        <w:t>社会保障和就业支出（208）行政事业单位离退休（05）机关事业单位基本养老保险缴费支出（05）：指反映机关事业单位实施养老保险制度由单位缴纳的基本养老保险费支出。</w:t>
      </w:r>
    </w:p>
    <w:p w14:paraId="2785F253">
      <w:pPr>
        <w:ind w:firstLine="632" w:firstLineChars="200"/>
      </w:pPr>
      <w:r>
        <w:t>12.</w:t>
      </w:r>
      <w:r>
        <w:rPr>
          <w:rFonts w:hint="eastAsia"/>
        </w:rPr>
        <w:t>社会保障和就业支出（208）行政事业单位离退休（05）机关事业单位职业年金缴费支出（06）：指反映机关事业单位实施养老保险制度由单位实际缴纳的职业年金的支出。</w:t>
      </w:r>
    </w:p>
    <w:p w14:paraId="38BFBF66">
      <w:pPr>
        <w:ind w:firstLine="632" w:firstLineChars="200"/>
      </w:pPr>
      <w:r>
        <w:t>13.</w:t>
      </w:r>
      <w:r>
        <w:rPr>
          <w:rFonts w:hint="eastAsia"/>
        </w:rPr>
        <w:t>卫生健康支出（210）行政事业单位医疗（11）行政单位医疗（01）：指反映财政部门安排的行政单位（包括实行公务员管理的事业单位）基本医疗保险缴费经费，未参加医疗保险的行政单位的公费医疗经费，按国家规定享受离休人员、红军老战士待遇人员的医疗经费。</w:t>
      </w:r>
    </w:p>
    <w:p w14:paraId="0190D4D2">
      <w:pPr>
        <w:ind w:firstLine="632" w:firstLineChars="200"/>
      </w:pPr>
      <w:r>
        <w:t>14.</w:t>
      </w:r>
      <w:r>
        <w:rPr>
          <w:rFonts w:hint="eastAsia"/>
        </w:rPr>
        <w:t>农林水支出（213）扶贫（05）（99）：指反映除“农村基础设施建设”、“生产发展”、“社会发展”、“扶贫贷款奖补和贴息”、“三西农业建设专项补助”、“扶贫事业机构”等以外其他用于扶贫方面的支出。</w:t>
      </w:r>
    </w:p>
    <w:p w14:paraId="0EE1C65C">
      <w:pPr>
        <w:ind w:firstLine="632" w:firstLineChars="200"/>
      </w:pPr>
      <w:r>
        <w:t>15.</w:t>
      </w:r>
      <w:r>
        <w:rPr>
          <w:rFonts w:hint="eastAsia"/>
        </w:rPr>
        <w:t>住房保障支出（221）住房改革支出（02）住房公积金（01）：指反映行政事业单位按人力资源和社会保障部、财政部规定的基本工资和津贴补贴以及规定比例为职工缴纳的住房公积金。</w:t>
      </w:r>
    </w:p>
    <w:p w14:paraId="04C5CD81">
      <w:pPr>
        <w:ind w:firstLine="632" w:firstLineChars="200"/>
      </w:pPr>
      <w:r>
        <w:rPr>
          <w:rFonts w:hint="eastAsia"/>
        </w:rPr>
        <w:t>16</w:t>
      </w:r>
      <w:r>
        <w:t>.</w:t>
      </w:r>
      <w:r>
        <w:rPr>
          <w:rFonts w:hint="eastAsia"/>
        </w:rPr>
        <w:t>基本支出：指为保障机构正常运转、完成日常工作任务而发生的人员支出和公用支出。</w:t>
      </w:r>
    </w:p>
    <w:p w14:paraId="557715A9">
      <w:pPr>
        <w:ind w:firstLine="632" w:firstLineChars="200"/>
      </w:pPr>
      <w:r>
        <w:rPr>
          <w:rFonts w:hint="eastAsia"/>
        </w:rPr>
        <w:t>17</w:t>
      </w:r>
      <w:r>
        <w:t>.</w:t>
      </w:r>
      <w:r>
        <w:rPr>
          <w:rFonts w:hint="eastAsia"/>
        </w:rPr>
        <w:t>项目支出：指在基本支出之外为完成特定行政任务和事业发展目标所发生的支出。</w:t>
      </w:r>
    </w:p>
    <w:p w14:paraId="4E407FB4">
      <w:pPr>
        <w:ind w:firstLine="632" w:firstLineChars="200"/>
      </w:pPr>
      <w:r>
        <w:rPr>
          <w:rFonts w:hint="eastAsia"/>
        </w:rPr>
        <w:t>18</w:t>
      </w:r>
      <w:r>
        <w:t>.</w:t>
      </w:r>
      <w:r>
        <w:rPr>
          <w:rFonts w:hint="eastAsia"/>
        </w:rPr>
        <w:t>经营支出：指事业单位在专业业务活动及其辅助活动之外开展非独立核算经营活动发生的支出。</w:t>
      </w:r>
    </w:p>
    <w:p w14:paraId="30583555">
      <w:pPr>
        <w:ind w:firstLine="632" w:firstLineChars="200"/>
      </w:pPr>
      <w:r>
        <w:rPr>
          <w:rFonts w:hint="eastAsia"/>
        </w:rPr>
        <w:t>19</w:t>
      </w:r>
      <w:r>
        <w:t>.</w:t>
      </w:r>
      <w:r>
        <w:rPr>
          <w:rFonts w:hint="eastAsi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1892C1A">
      <w:pPr>
        <w:ind w:firstLine="632" w:firstLineChars="200"/>
      </w:pPr>
      <w:r>
        <w:rPr>
          <w:rFonts w:hint="eastAsia"/>
        </w:rPr>
        <w:t>20</w:t>
      </w:r>
      <w:r>
        <w:t>.</w:t>
      </w:r>
      <w:r>
        <w:rPr>
          <w:rFonts w:hint="eastAsi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FDAC3FC"/>
    <w:p w14:paraId="064C9ED0"/>
    <w:p w14:paraId="1601A2FB"/>
    <w:p w14:paraId="04D56C58"/>
    <w:p w14:paraId="516FB1C6">
      <w:pPr>
        <w:spacing w:line="600" w:lineRule="exact"/>
        <w:jc w:val="center"/>
        <w:rPr>
          <w:rStyle w:val="25"/>
          <w:rFonts w:ascii="方正小标宋简体" w:hAnsi="黑体" w:eastAsia="方正小标宋简体"/>
          <w:b w:val="0"/>
        </w:rPr>
      </w:pPr>
      <w:bookmarkStart w:id="57" w:name="_Toc15377226"/>
      <w:r>
        <w:br w:type="page"/>
      </w:r>
      <w:bookmarkStart w:id="58" w:name="_Toc15396614"/>
      <w:r>
        <w:rPr>
          <w:rFonts w:hint="eastAsia" w:ascii="方正小标宋简体" w:hAnsi="黑体" w:eastAsia="方正小标宋简体"/>
          <w:color w:val="000000"/>
          <w:sz w:val="44"/>
          <w:szCs w:val="44"/>
        </w:rPr>
        <w:t>第</w:t>
      </w:r>
      <w:r>
        <w:rPr>
          <w:rStyle w:val="25"/>
          <w:rFonts w:hint="eastAsia" w:ascii="方正小标宋简体" w:hAnsi="黑体" w:eastAsia="方正小标宋简体"/>
          <w:b w:val="0"/>
        </w:rPr>
        <w:t>四部分 附件</w:t>
      </w:r>
      <w:bookmarkEnd w:id="58"/>
    </w:p>
    <w:p w14:paraId="4BEF270C">
      <w:pPr>
        <w:spacing w:line="600" w:lineRule="exact"/>
        <w:jc w:val="center"/>
        <w:rPr>
          <w:rFonts w:ascii="方正小标宋简体" w:hAnsi="宋体" w:eastAsia="方正小标宋简体"/>
          <w:color w:val="000000"/>
          <w:kern w:val="0"/>
          <w:sz w:val="40"/>
          <w:szCs w:val="44"/>
        </w:rPr>
      </w:pPr>
    </w:p>
    <w:p w14:paraId="11D1ED4C">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乐山高</w:t>
      </w:r>
      <w:r>
        <w:rPr>
          <w:rFonts w:hint="eastAsia" w:ascii="方正小标宋简体" w:hAnsi="宋体" w:eastAsia="方正小标宋简体"/>
          <w:color w:val="000000"/>
          <w:kern w:val="0"/>
          <w:sz w:val="40"/>
          <w:szCs w:val="44"/>
          <w:lang w:val="zh-CN"/>
        </w:rPr>
        <w:t>新区党工委办公室</w:t>
      </w:r>
    </w:p>
    <w:p w14:paraId="30F96148">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560798A3"/>
    <w:p w14:paraId="2EB940B8">
      <w:pPr>
        <w:pStyle w:val="34"/>
        <w:numPr>
          <w:ilvl w:val="0"/>
          <w:numId w:val="0"/>
        </w:numPr>
        <w:spacing w:line="240" w:lineRule="auto"/>
        <w:ind w:firstLine="632" w:firstLineChars="200"/>
        <w:jc w:val="both"/>
        <w:rPr>
          <w:shd w:val="clear" w:color="auto" w:fill="FFFFFF"/>
          <w:lang w:val="zh-CN"/>
        </w:rPr>
      </w:pPr>
      <w:r>
        <w:rPr>
          <w:rFonts w:hint="eastAsia"/>
          <w:shd w:val="clear" w:color="auto" w:fill="FFFFFF"/>
          <w:lang w:val="zh-CN"/>
        </w:rPr>
        <w:t>一、部门（单位）概况</w:t>
      </w:r>
    </w:p>
    <w:p w14:paraId="355BBC0F">
      <w:pPr>
        <w:ind w:firstLine="632" w:firstLineChars="200"/>
        <w:rPr>
          <w:rFonts w:ascii="楷体_GB2312" w:eastAsia="楷体_GB2312"/>
        </w:rPr>
      </w:pPr>
      <w:r>
        <w:rPr>
          <w:rFonts w:hint="eastAsia" w:ascii="楷体_GB2312" w:eastAsia="楷体_GB2312"/>
        </w:rPr>
        <w:t>（一）机构组成</w:t>
      </w:r>
    </w:p>
    <w:p w14:paraId="56EF1B4D">
      <w:pPr>
        <w:ind w:firstLine="632" w:firstLineChars="200"/>
      </w:pPr>
      <w:r>
        <w:rPr>
          <w:rFonts w:hint="eastAsia"/>
        </w:rPr>
        <w:t>中共乐山高新技术产业开发区工作委员会办公室（以下简称：高新区党工委办公室）属一级预算单位，参照公务员法管理的事业单位，无下属二级预算单位。</w:t>
      </w:r>
    </w:p>
    <w:p w14:paraId="5CB2B7BF">
      <w:pPr>
        <w:ind w:firstLine="632" w:firstLineChars="200"/>
        <w:rPr>
          <w:rFonts w:ascii="楷体_GB2312" w:eastAsia="楷体_GB2312"/>
        </w:rPr>
      </w:pPr>
      <w:r>
        <w:rPr>
          <w:rFonts w:hint="eastAsia" w:ascii="楷体_GB2312" w:eastAsia="楷体_GB2312"/>
        </w:rPr>
        <w:t>（二）机构职能</w:t>
      </w:r>
    </w:p>
    <w:p w14:paraId="6E7F90EA">
      <w:pPr>
        <w:ind w:firstLine="632" w:firstLineChars="200"/>
      </w:pPr>
      <w:r>
        <w:rPr>
          <w:rFonts w:hint="eastAsia"/>
        </w:rPr>
        <w:t>综合协调党工委、管委会党务政务活动；负责目标绩效、督查督办、政策法规、信息调研、机要保密、机关事务、党务政务公开等；负责人大、政协联络工作；承担党工委、管委会交办的其他工作任务。</w:t>
      </w:r>
    </w:p>
    <w:p w14:paraId="16CE3C33">
      <w:pPr>
        <w:ind w:firstLine="632" w:firstLineChars="200"/>
        <w:rPr>
          <w:rFonts w:ascii="楷体_GB2312" w:eastAsia="楷体_GB2312"/>
        </w:rPr>
      </w:pPr>
      <w:r>
        <w:rPr>
          <w:rFonts w:hint="eastAsia" w:ascii="楷体_GB2312" w:eastAsia="楷体_GB2312"/>
        </w:rPr>
        <w:t>（三）人员概况</w:t>
      </w:r>
    </w:p>
    <w:p w14:paraId="580D2211">
      <w:pPr>
        <w:ind w:firstLine="632" w:firstLineChars="200"/>
      </w:pPr>
      <w:r>
        <w:rPr>
          <w:rFonts w:hint="eastAsia"/>
        </w:rPr>
        <w:t>高新区党工委办公室现有编制23个。在职人员总数 26人，其中：参照公务员法管理人员22人，工勤人员1人，其他人员3人。</w:t>
      </w:r>
    </w:p>
    <w:p w14:paraId="27D4E7B2">
      <w:pPr>
        <w:ind w:firstLine="632" w:firstLineChars="200"/>
        <w:rPr>
          <w:rFonts w:ascii="黑体" w:hAnsi="黑体" w:eastAsia="黑体"/>
          <w:shd w:val="clear" w:color="auto" w:fill="FFFFFF"/>
        </w:rPr>
      </w:pPr>
      <w:r>
        <w:rPr>
          <w:rFonts w:hint="eastAsia" w:ascii="黑体" w:hAnsi="黑体" w:eastAsia="黑体"/>
        </w:rPr>
        <w:t>二、</w:t>
      </w:r>
      <w:r>
        <w:rPr>
          <w:rFonts w:hint="eastAsia" w:ascii="黑体" w:hAnsi="黑体" w:eastAsia="黑体"/>
          <w:shd w:val="clear" w:color="auto" w:fill="FFFFFF"/>
        </w:rPr>
        <w:t>部门财政资金收支情况</w:t>
      </w:r>
    </w:p>
    <w:p w14:paraId="6EAAB595">
      <w:pPr>
        <w:ind w:firstLine="632" w:firstLineChars="200"/>
        <w:rPr>
          <w:rFonts w:ascii="楷体_GB2312" w:eastAsia="楷体_GB2312"/>
        </w:rPr>
      </w:pPr>
      <w:r>
        <w:rPr>
          <w:rFonts w:hint="eastAsia" w:ascii="楷体_GB2312" w:eastAsia="楷体_GB2312"/>
        </w:rPr>
        <w:t>（一）部门财政资金收入情况</w:t>
      </w:r>
    </w:p>
    <w:p w14:paraId="60C40365">
      <w:pPr>
        <w:ind w:firstLine="632" w:firstLineChars="200"/>
      </w:pPr>
      <w:r>
        <w:rPr>
          <w:rFonts w:hint="eastAsia"/>
        </w:rPr>
        <w:t>2019年高新区党工委办公室财政收入1696.69万元。均为一般公共预算财政拨款1696.69万元，无政府性基金预算财政拨款收入、国有资本经营收入等其他收入。</w:t>
      </w:r>
    </w:p>
    <w:p w14:paraId="37D677D5">
      <w:pPr>
        <w:ind w:firstLine="632" w:firstLineChars="200"/>
        <w:rPr>
          <w:rFonts w:ascii="楷体_GB2312" w:eastAsia="楷体_GB2312"/>
        </w:rPr>
      </w:pPr>
      <w:r>
        <w:rPr>
          <w:rFonts w:hint="eastAsia" w:ascii="楷体_GB2312" w:eastAsia="楷体_GB2312"/>
        </w:rPr>
        <w:t>（二）部门财政资金支出情况</w:t>
      </w:r>
    </w:p>
    <w:p w14:paraId="139290F7">
      <w:pPr>
        <w:ind w:firstLine="632" w:firstLineChars="200"/>
      </w:pPr>
      <w:r>
        <w:rPr>
          <w:rFonts w:hint="eastAsia"/>
        </w:rPr>
        <w:t>2019年高新区党工委办公室财政支出1696.69万元。</w:t>
      </w:r>
    </w:p>
    <w:p w14:paraId="0C8B7CC8">
      <w:pPr>
        <w:ind w:firstLine="632" w:firstLineChars="200"/>
      </w:pPr>
      <w:r>
        <w:rPr>
          <w:rFonts w:hint="eastAsia"/>
        </w:rPr>
        <w:t>1.基本支出842.76万元。其中一般公共服务支出333.29万元，主要用于保障高新区党工委办公室正常运转的日常支出，包括基本工资、津贴补贴等人员经费以及办公费、印刷费、水电费、办公设备购置等日常公用经费；社会保障和就业支出238.34万元，主要用于管委会机关事业单位基本养老保险和职业年金缴费支出；卫生健康支出50.60万元，主要用于管委会机关事业单位基本医疗保险缴费支出；住房保障支出220.53万元，主要用于管委会及直属事业单位按照规定标准为职工缴纳住房公积金支出。</w:t>
      </w:r>
    </w:p>
    <w:p w14:paraId="6E11A1E8">
      <w:pPr>
        <w:ind w:firstLine="632" w:firstLineChars="200"/>
      </w:pPr>
      <w:r>
        <w:rPr>
          <w:rFonts w:hint="eastAsia"/>
        </w:rPr>
        <w:t>2.项目支出853.93万元。其中一般公共服务支出745.39万元，主要用于保障管委会正常运转、职工体检及补充医疗费、党报党刊征订、招商等经费支出；农林水支出108.54万元，主要用于精准扶贫、对口帮扶马边县民建镇兴隆村，通村公路亮化、公共食堂及公共厕所建设、党群服务中心办公设备购置、环境风貌改造、公共食堂设施购置、走访慰问、贫困户住房改造等。</w:t>
      </w:r>
    </w:p>
    <w:p w14:paraId="42B5321B">
      <w:pPr>
        <w:ind w:firstLine="632" w:firstLineChars="200"/>
      </w:pPr>
      <w:r>
        <w:rPr>
          <w:rFonts w:hint="eastAsia"/>
        </w:rPr>
        <w:t>3.“三公</w:t>
      </w:r>
      <w:bookmarkStart w:id="73" w:name="_GoBack"/>
      <w:bookmarkEnd w:id="73"/>
      <w:r>
        <w:rPr>
          <w:rFonts w:hint="eastAsia"/>
          <w:lang w:eastAsia="zh-CN"/>
        </w:rPr>
        <w:t>”</w:t>
      </w:r>
      <w:r>
        <w:rPr>
          <w:rFonts w:hint="eastAsia"/>
        </w:rPr>
        <w:t>经费使用情况：“三公”经费支出24.59万元，其中“因公出国（境）费”7.53万元，因公出国（境）人数2人，经市级相关部门同意，赴泰国、老挝和美国、日本访问。“公务用车运行维护费”2.74万元，公务用车保有量1辆。“公务接待费”14.32万元。</w:t>
      </w:r>
    </w:p>
    <w:p w14:paraId="40FDC058">
      <w:pPr>
        <w:ind w:firstLine="632" w:firstLineChars="200"/>
        <w:rPr>
          <w:rFonts w:ascii="黑体" w:hAnsi="黑体" w:eastAsia="黑体"/>
          <w:shd w:val="clear" w:color="auto" w:fill="FFFFFF"/>
        </w:rPr>
      </w:pPr>
      <w:r>
        <w:rPr>
          <w:rFonts w:hint="eastAsia" w:ascii="黑体" w:hAnsi="黑体" w:eastAsia="黑体"/>
        </w:rPr>
        <w:t>三、</w:t>
      </w:r>
      <w:r>
        <w:rPr>
          <w:rFonts w:hint="eastAsia" w:ascii="黑体" w:hAnsi="黑体" w:eastAsia="黑体"/>
          <w:shd w:val="clear" w:color="auto" w:fill="FFFFFF"/>
        </w:rPr>
        <w:t>部门财政支出管理情况</w:t>
      </w:r>
    </w:p>
    <w:p w14:paraId="674510BF">
      <w:pPr>
        <w:ind w:firstLine="632" w:firstLineChars="200"/>
        <w:rPr>
          <w:rFonts w:ascii="楷体_GB2312" w:eastAsia="楷体_GB2312"/>
        </w:rPr>
      </w:pPr>
      <w:r>
        <w:rPr>
          <w:rFonts w:hint="eastAsia" w:ascii="楷体_GB2312" w:hAnsi="黑体" w:eastAsia="楷体_GB2312"/>
          <w:shd w:val="clear" w:color="auto" w:fill="FFFFFF"/>
        </w:rPr>
        <w:t>（一）</w:t>
      </w:r>
      <w:r>
        <w:rPr>
          <w:rFonts w:hint="eastAsia" w:ascii="楷体_GB2312" w:eastAsia="楷体_GB2312"/>
        </w:rPr>
        <w:t>预决算编制情况</w:t>
      </w:r>
    </w:p>
    <w:p w14:paraId="0992AAC1">
      <w:pPr>
        <w:ind w:firstLine="632" w:firstLineChars="200"/>
      </w:pPr>
      <w:r>
        <w:t>严格按照预</w:t>
      </w:r>
      <w:r>
        <w:rPr>
          <w:rFonts w:hint="eastAsia"/>
        </w:rPr>
        <w:t>决</w:t>
      </w:r>
      <w:r>
        <w:t>算</w:t>
      </w:r>
      <w:r>
        <w:rPr>
          <w:rFonts w:hint="eastAsia"/>
        </w:rPr>
        <w:t>管理制度</w:t>
      </w:r>
      <w:r>
        <w:t>和有关要求，按时完成201</w:t>
      </w:r>
      <w:r>
        <w:rPr>
          <w:rFonts w:hint="eastAsia"/>
        </w:rPr>
        <w:t>9</w:t>
      </w:r>
      <w:r>
        <w:t>年预</w:t>
      </w:r>
      <w:r>
        <w:rPr>
          <w:rFonts w:hint="eastAsia"/>
        </w:rPr>
        <w:t>决</w:t>
      </w:r>
      <w:r>
        <w:t>算编制工作，</w:t>
      </w:r>
      <w:r>
        <w:rPr>
          <w:rFonts w:hint="eastAsia"/>
        </w:rPr>
        <w:t>部门整体绩效目标编制完整、合理，项目绩效目标编制明确、量化，</w:t>
      </w:r>
      <w:r>
        <w:t>并</w:t>
      </w:r>
      <w:r>
        <w:rPr>
          <w:rFonts w:hint="eastAsia"/>
        </w:rPr>
        <w:t>按要求在高新区网站上进行预决算公开</w:t>
      </w:r>
      <w:r>
        <w:t>。</w:t>
      </w:r>
    </w:p>
    <w:p w14:paraId="7ED8F611">
      <w:pPr>
        <w:ind w:firstLine="632" w:firstLineChars="200"/>
        <w:rPr>
          <w:rFonts w:ascii="楷体_GB2312" w:eastAsia="楷体_GB2312"/>
        </w:rPr>
      </w:pPr>
      <w:r>
        <w:rPr>
          <w:rFonts w:hint="eastAsia" w:ascii="楷体_GB2312" w:eastAsia="楷体_GB2312"/>
        </w:rPr>
        <w:t>（二）执行管理情况</w:t>
      </w:r>
    </w:p>
    <w:p w14:paraId="1E301630">
      <w:pPr>
        <w:ind w:firstLine="632" w:firstLineChars="200"/>
      </w:pPr>
      <w:r>
        <w:rPr>
          <w:rFonts w:hint="eastAsia"/>
        </w:rPr>
        <w:t>严格按照年初预算安排，严格执行中央八项规定和省、市十项规定,厉行节约规范使用预算资金。收入上，严格执行 "收支两条线"管理制度，无隐瞒收入和其他违反国家收费管理规定的行为。在支出管理中, 认真执行国库集中支付、政府采购、公务卡报销等相关财务管理制度。认真做好每月与财政的对账工作，加强动态监控，保障机关各项工作顺利开展。按照财经法规及制度使用、管理资金，不存在无预算、超预算支出，无虚列支出，开支合理。所有财政资金支出均履行了严格的审批手续，无挤占、挪用、转移财政资金行为。“三公”经费呈逐年下降趋势。</w:t>
      </w:r>
    </w:p>
    <w:p w14:paraId="4E5728F3">
      <w:pPr>
        <w:ind w:firstLine="632" w:firstLineChars="200"/>
        <w:rPr>
          <w:rFonts w:ascii="楷体_GB2312" w:eastAsia="楷体_GB2312"/>
        </w:rPr>
      </w:pPr>
      <w:r>
        <w:rPr>
          <w:rFonts w:hint="eastAsia" w:ascii="楷体_GB2312" w:eastAsia="楷体_GB2312"/>
        </w:rPr>
        <w:t>（三）综合管理情况</w:t>
      </w:r>
    </w:p>
    <w:p w14:paraId="399F6CBF">
      <w:pPr>
        <w:ind w:firstLine="632" w:firstLineChars="200"/>
      </w:pPr>
      <w:r>
        <w:t>财务管理制度健全，执行制度严格合规，会计核算符合相关规定，资金专款专用，资金支付依据和开支标准合法合规，严格执行政府采购</w:t>
      </w:r>
      <w:r>
        <w:rPr>
          <w:rFonts w:hint="eastAsia"/>
        </w:rPr>
        <w:t>，建立专门的管理制度规范内部控制工作的开展。</w:t>
      </w:r>
    </w:p>
    <w:p w14:paraId="13B6CEFB">
      <w:pPr>
        <w:ind w:firstLine="632" w:firstLineChars="200"/>
      </w:pPr>
      <w:r>
        <w:rPr>
          <w:rFonts w:hint="eastAsia"/>
        </w:rPr>
        <w:t>1. 严格执行财务管理制度。严格执行中央和上级有关部门出台的财经纪律相关规定，严控</w:t>
      </w:r>
      <w:r>
        <w:rPr>
          <w:rFonts w:hint="eastAsia"/>
          <w:lang w:eastAsia="zh-CN"/>
        </w:rPr>
        <w:t>“</w:t>
      </w:r>
      <w:r>
        <w:rPr>
          <w:rFonts w:hint="eastAsia"/>
        </w:rPr>
        <w:t>三公</w:t>
      </w:r>
      <w:r>
        <w:rPr>
          <w:rFonts w:hint="eastAsia"/>
          <w:lang w:eastAsia="zh-CN"/>
        </w:rPr>
        <w:t>”</w:t>
      </w:r>
      <w:r>
        <w:rPr>
          <w:rFonts w:hint="eastAsia"/>
        </w:rPr>
        <w:t>经费、会议费、培训费、差旅费等支出。严格报账程序，严把票据审核关，无现金支付。认真做好会计核算，做到账账相符、账实相符。强化内控建设，防范防控岗位风险,确保各项工作有序运转。</w:t>
      </w:r>
    </w:p>
    <w:p w14:paraId="24BCF154">
      <w:pPr>
        <w:ind w:firstLine="632" w:firstLineChars="200"/>
      </w:pPr>
      <w:r>
        <w:rPr>
          <w:rFonts w:hint="eastAsia"/>
        </w:rPr>
        <w:t>2.加强政府采购管理。严格按照《政府采购法》和《政府采购法实施条例》等相关管理规定，根据省采购目录和财政部门预算管理要求，编制政府采购计划，将采购项目全部纳入部门预算管理。采购前,与财政做好事前沟通,做好采购政策咨询，了解相关业务规范；采购中,合理选择采购方式，确保采购流程合理合规，做好采购项目信息的公开公示工作；采购后，抓好采购项目的监管工作，严把质量关，力求实效。</w:t>
      </w:r>
    </w:p>
    <w:p w14:paraId="6AF72668">
      <w:pPr>
        <w:ind w:firstLine="632" w:firstLineChars="200"/>
      </w:pPr>
      <w:r>
        <w:rPr>
          <w:rFonts w:hint="eastAsia"/>
        </w:rPr>
        <w:t>3.加强固定资产管理。严格按照市级行政事业单位通用办公设备和家具配置标准、新增资产配置流程、处置审批制度等相关文件要求，做好固定资产采买、报废、调整等相关管理工作。部门资产录入固定资产管理系统，建资产管理卡片, 及时更新资产管理信息系统数据，做到账实相符、账卡相符。</w:t>
      </w:r>
    </w:p>
    <w:p w14:paraId="2CEF9B2D">
      <w:pPr>
        <w:ind w:firstLine="632" w:firstLineChars="200"/>
        <w:rPr>
          <w:rFonts w:ascii="楷体_GB2312" w:eastAsia="楷体_GB2312"/>
        </w:rPr>
      </w:pPr>
      <w:r>
        <w:rPr>
          <w:rFonts w:hint="eastAsia" w:ascii="楷体_GB2312" w:eastAsia="楷体_GB2312"/>
        </w:rPr>
        <w:t>（四）整体绩效</w:t>
      </w:r>
    </w:p>
    <w:p w14:paraId="06EB45E0">
      <w:pPr>
        <w:ind w:firstLine="632" w:firstLineChars="200"/>
      </w:pPr>
      <w:r>
        <w:rPr>
          <w:rFonts w:hint="eastAsia"/>
        </w:rPr>
        <w:t>党工委办公室在党工委、管委会的坚强领导下，坚定以习近平新时代中国特色社会主义思想为指导，认真学习贯彻党的十九大和十九届二中、三中、四中全会精神，紧扣高新区“总部经济聚集区”发展定位，围绕“三年大变样”工作目标，强化“三个服务”，积极发挥政治把关、参谋助手、统筹协调、督办落实、信息宣传、服务保障作用，综合协调有序高效，文秘工作严谨规范，信息宣传亮点突出，目标督查有力有效，后勤保障精细到位，较好完成了各项工作任务。</w:t>
      </w:r>
    </w:p>
    <w:p w14:paraId="34486BAB">
      <w:pPr>
        <w:ind w:firstLine="632" w:firstLineChars="200"/>
      </w:pPr>
      <w:r>
        <w:rPr>
          <w:rFonts w:hint="eastAsia"/>
        </w:rPr>
        <w:t>1.提高政治站位，打造过硬队伍。坚持把学习贯彻习近平新时代中国特色社会主义思想作为重中之重，扎实开展“不忘初心、牢记使命”主题教育，经常进行党性分析和“政治体检”，坚持把党办作为表率部门，力求想在前、谋在前、干在前。牵头开展巡视巡察反馈问题整改工作，深化以巡促改、以案促改，推动内部管理规范化、制度化建设，建立完善《岗位责任制管理》《公章管理》等规章制度。以“岗位责任制管理”为抓手，培养了一批岗位能手和业务标兵，提升了办公室干部职工独当一面和团队协作能力。全年6名同志获得市区两级先进表扬。不断加强机关党建，认真践行“忠诚、干净、担当”的政治要求，促进党风廉政建设向纵深发展，不断提高政治自觉、思想自觉和行动自觉。</w:t>
      </w:r>
    </w:p>
    <w:p w14:paraId="0C0D8AB2">
      <w:pPr>
        <w:ind w:firstLine="632" w:firstLineChars="200"/>
      </w:pPr>
      <w:r>
        <w:rPr>
          <w:rFonts w:hint="eastAsia"/>
        </w:rPr>
        <w:t>2.突出智力服务，提升辅政水平。充分发挥以文辅政作用，主动围绕党工委、管委会中心工作，紧扣“总部经济、创新高地、现代新城”三位一体发展定位，“4+1”现代产业体系构建以及高质量发展，强化文稿信息工作，组织重点课题研究，挖掘特色信息，高质量完成各项目标任务，形成了《提升高新区发展能级的思考》《高新区打造千亿产业的构想》等一批调研成果。围绕三年大变样，推出了系列特色信息和宣传报道，信息工作被市政府评为先进单位。加强信息公开工作，推进政务新媒体建设，网站建设在全市工作会上作了交流发言。</w:t>
      </w:r>
    </w:p>
    <w:p w14:paraId="4A2839D7">
      <w:pPr>
        <w:ind w:firstLine="632" w:firstLineChars="200"/>
      </w:pPr>
      <w:r>
        <w:rPr>
          <w:rFonts w:hint="eastAsia"/>
        </w:rPr>
        <w:t>3.鲜明实干导向，督促推动落实。始终坚持上级和党工委、管委会工作部署到哪里，督促检查工作就跟进到哪里，突出重点、改进方式、提升实效。制定《2019年党工委、管委会督查工作计划》，突出“挂图作战”“PPP项目挂图施工”“挂图招商”“挂图征拆”“挂图创新”“十件高新大事”“十件民生实事”等，实施重点跟踪督导。创新督查方式，运用“乐高创业群”等载体进行“亮、晒、逼、究”，促进“比学赶超”。按照“清单制+责任制+时限制”方式，台账式管理，推动领导指示批示事项的督办落实。督促推动形式主义、官僚主义问题整治。坚持督查督办与目标绩效管理联动、结果挂钩，在推进落实上级决策部署、巡察整改、项目落实集中攻坚、双创工作、目标任务执行等重大工作中取得较好效果。</w:t>
      </w:r>
    </w:p>
    <w:p w14:paraId="5C0EA2B5">
      <w:pPr>
        <w:ind w:firstLine="632" w:firstLineChars="200"/>
      </w:pPr>
      <w:r>
        <w:rPr>
          <w:rFonts w:hint="eastAsia"/>
        </w:rPr>
        <w:t>4.注重统筹兼顾，提高服务水平。坚持把“领导满意、部门认可、群众满意”作为党工委办工作基本要求，全力做好保障服务工作，确保机关运转有序、高效安全。健全机关事务管理制度，完善机关后勤服务、公务用车监管等各项规章制度，提高后勤服务质量和水平，健全后勤服务和安全监管措施。加强机关内部控制，强化了节约型、廉洁型机关建设。不断规范工作环境和办公秩序，定期排查安全隐患，保证机关办公正常运行。落实党要管档、依法治档基本原则，按要求做好文书档案规范化管理。认真履行创文办工作职责，提出“十个一”工作法，强化对标补短。党工委办党支部被评为全区先进基层党组织，党工委办被评为全区2019年度目标考核先进单位。</w:t>
      </w:r>
    </w:p>
    <w:p w14:paraId="7C22738D">
      <w:pPr>
        <w:ind w:firstLine="632" w:firstLineChars="200"/>
        <w:rPr>
          <w:rFonts w:ascii="黑体" w:hAnsi="黑体" w:eastAsia="黑体"/>
          <w:shd w:val="clear" w:color="auto" w:fill="FFFFFF"/>
        </w:rPr>
      </w:pPr>
      <w:r>
        <w:rPr>
          <w:rFonts w:hint="eastAsia" w:ascii="黑体" w:hAnsi="黑体" w:eastAsia="黑体"/>
        </w:rPr>
        <w:t>四、</w:t>
      </w:r>
      <w:r>
        <w:rPr>
          <w:rFonts w:hint="eastAsia" w:ascii="黑体" w:hAnsi="黑体" w:eastAsia="黑体"/>
          <w:shd w:val="clear" w:color="auto" w:fill="FFFFFF"/>
        </w:rPr>
        <w:t>评价结论及建议</w:t>
      </w:r>
    </w:p>
    <w:p w14:paraId="268DA2BB">
      <w:pPr>
        <w:ind w:firstLine="632" w:firstLineChars="200"/>
      </w:pPr>
      <w:r>
        <w:rPr>
          <w:rFonts w:hint="eastAsia"/>
        </w:rPr>
        <w:t>高新区党工委办公室2019年部门支出与年初预算基本一致，达到预期绩效目标。按照财经法规及制度使用、管理资金。严格按照年初预算批复认真组织实施, 严格执行财经纪律相关管理规定，做到各项收支安排使用符合财政政策的要求，确保了单位正常运行，较好地完成了2019年部门预算编制和决算汇总工作, 2019年目标任务基本完成，预算执行情况较好。但仍存在预算编制不够完善,绩效管理工作有待加强等问题。</w:t>
      </w:r>
    </w:p>
    <w:p w14:paraId="1093B8CC">
      <w:pPr>
        <w:ind w:firstLine="632" w:firstLineChars="200"/>
      </w:pPr>
      <w:r>
        <w:rPr>
          <w:rFonts w:hint="eastAsia"/>
        </w:rPr>
        <w:t>在今后的工作中,将严格按照新《预算法》的要求，加强预算编制的科学性、合理性,让预算编制更贴合实际，使项目预算与工作结合更加紧密。严格按照批复预算执行，项目开展进度有计划申请资金及时支付。加强预算绩效管理，增强预算约束力，做好预算项目支出绩效目标及各项绩效指标的细化、量化工作,用好用活财政资金，提高财政资金的使用效益。</w:t>
      </w:r>
    </w:p>
    <w:p w14:paraId="02FB6DFE"/>
    <w:p w14:paraId="32AFAE54"/>
    <w:p w14:paraId="3D994CEF"/>
    <w:p w14:paraId="080C10F5"/>
    <w:p w14:paraId="31D6633B"/>
    <w:p w14:paraId="7368AD67"/>
    <w:p w14:paraId="596CF9DB"/>
    <w:p w14:paraId="6D09B859">
      <w:pPr>
        <w:spacing w:line="600" w:lineRule="exact"/>
        <w:jc w:val="center"/>
        <w:outlineLvl w:val="0"/>
        <w:rPr>
          <w:rStyle w:val="25"/>
          <w:rFonts w:ascii="方正小标宋简体" w:hAnsi="黑体" w:eastAsia="方正小标宋简体"/>
          <w:b w:val="0"/>
        </w:rPr>
      </w:pPr>
      <w:bookmarkStart w:id="59" w:name="_Toc15396618"/>
      <w:r>
        <w:rPr>
          <w:rFonts w:hint="eastAsia" w:ascii="方正小标宋简体" w:hAnsi="黑体" w:eastAsia="方正小标宋简体"/>
          <w:color w:val="000000"/>
          <w:sz w:val="44"/>
          <w:szCs w:val="44"/>
        </w:rPr>
        <w:t>第</w:t>
      </w:r>
      <w:r>
        <w:rPr>
          <w:rStyle w:val="25"/>
          <w:rFonts w:hint="eastAsia" w:ascii="方正小标宋简体" w:hAnsi="黑体" w:eastAsia="方正小标宋简体"/>
          <w:b w:val="0"/>
        </w:rPr>
        <w:t>五部分 附表</w:t>
      </w:r>
      <w:bookmarkEnd w:id="57"/>
      <w:bookmarkEnd w:id="59"/>
    </w:p>
    <w:p w14:paraId="10D2352F"/>
    <w:p w14:paraId="0571B7C9">
      <w:pPr>
        <w:ind w:firstLine="632" w:firstLineChars="200"/>
      </w:pPr>
      <w:bookmarkStart w:id="60" w:name="_Toc15396619"/>
      <w:r>
        <w:rPr>
          <w:rFonts w:hint="eastAsia"/>
        </w:rPr>
        <w:t>一、收入支出决算总表</w:t>
      </w:r>
      <w:bookmarkEnd w:id="60"/>
    </w:p>
    <w:p w14:paraId="339A4819">
      <w:pPr>
        <w:ind w:firstLine="632" w:firstLineChars="200"/>
      </w:pPr>
      <w:bookmarkStart w:id="61" w:name="_Toc15396620"/>
      <w:r>
        <w:rPr>
          <w:rFonts w:hint="eastAsia"/>
        </w:rPr>
        <w:t>二、收入决算表</w:t>
      </w:r>
      <w:bookmarkEnd w:id="61"/>
    </w:p>
    <w:p w14:paraId="66E3CE3D">
      <w:pPr>
        <w:ind w:firstLine="632" w:firstLineChars="200"/>
      </w:pPr>
      <w:bookmarkStart w:id="62" w:name="_Toc15396621"/>
      <w:r>
        <w:rPr>
          <w:rFonts w:hint="eastAsia"/>
        </w:rPr>
        <w:t>三、支出决算表</w:t>
      </w:r>
      <w:bookmarkEnd w:id="62"/>
    </w:p>
    <w:p w14:paraId="65C9B62D">
      <w:pPr>
        <w:ind w:firstLine="632" w:firstLineChars="200"/>
      </w:pPr>
      <w:bookmarkStart w:id="63" w:name="_Toc15396622"/>
      <w:r>
        <w:rPr>
          <w:rFonts w:hint="eastAsia"/>
        </w:rPr>
        <w:t>四、财政拨款收入支出决算总表</w:t>
      </w:r>
      <w:bookmarkEnd w:id="63"/>
      <w:bookmarkStart w:id="64" w:name="_Toc15396623"/>
    </w:p>
    <w:p w14:paraId="3534D1CA">
      <w:pPr>
        <w:ind w:firstLine="632" w:firstLineChars="200"/>
      </w:pPr>
      <w:r>
        <w:rPr>
          <w:rFonts w:hint="eastAsia"/>
        </w:rPr>
        <w:t>五、财政拨款支出决算明细表</w:t>
      </w:r>
      <w:bookmarkEnd w:id="64"/>
      <w:bookmarkStart w:id="65" w:name="_Toc15396624"/>
    </w:p>
    <w:p w14:paraId="4DDBD38F">
      <w:pPr>
        <w:ind w:firstLine="632" w:firstLineChars="200"/>
      </w:pPr>
      <w:r>
        <w:rPr>
          <w:rFonts w:hint="eastAsia"/>
        </w:rPr>
        <w:t>六、一般公共预算财政拨款支出决算表</w:t>
      </w:r>
      <w:bookmarkEnd w:id="65"/>
      <w:bookmarkStart w:id="66" w:name="_Toc15396625"/>
    </w:p>
    <w:p w14:paraId="1E8EF6ED">
      <w:pPr>
        <w:ind w:firstLine="632" w:firstLineChars="200"/>
      </w:pPr>
      <w:r>
        <w:rPr>
          <w:rFonts w:hint="eastAsia"/>
        </w:rPr>
        <w:t>七、一般公共预算财政拨款支出决算明细表</w:t>
      </w:r>
      <w:bookmarkEnd w:id="66"/>
      <w:bookmarkStart w:id="67" w:name="_Toc15396626"/>
    </w:p>
    <w:p w14:paraId="2F3B5F1C">
      <w:pPr>
        <w:ind w:firstLine="632" w:firstLineChars="200"/>
      </w:pPr>
      <w:r>
        <w:rPr>
          <w:rFonts w:hint="eastAsia"/>
        </w:rPr>
        <w:t>八、一般公共预算财政拨款基本支出决算表</w:t>
      </w:r>
      <w:bookmarkEnd w:id="67"/>
      <w:bookmarkStart w:id="68" w:name="_Toc15396627"/>
    </w:p>
    <w:p w14:paraId="68F6C85C">
      <w:pPr>
        <w:ind w:firstLine="632" w:firstLineChars="200"/>
      </w:pPr>
      <w:r>
        <w:rPr>
          <w:rFonts w:hint="eastAsia"/>
        </w:rPr>
        <w:t>九、一般公共预算财政拨款项目支出决算表</w:t>
      </w:r>
      <w:bookmarkEnd w:id="68"/>
      <w:bookmarkStart w:id="69" w:name="_Toc15396628"/>
    </w:p>
    <w:p w14:paraId="785E7C53">
      <w:pPr>
        <w:ind w:firstLine="632" w:firstLineChars="200"/>
      </w:pPr>
      <w:r>
        <w:rPr>
          <w:rFonts w:hint="eastAsia"/>
        </w:rPr>
        <w:t>十、一般公共预算财政拨款“三公”经费支出决算表</w:t>
      </w:r>
      <w:bookmarkEnd w:id="69"/>
      <w:bookmarkStart w:id="70" w:name="_Toc15396629"/>
    </w:p>
    <w:p w14:paraId="5008DF98">
      <w:pPr>
        <w:ind w:firstLine="632" w:firstLineChars="200"/>
      </w:pPr>
      <w:r>
        <w:rPr>
          <w:rFonts w:hint="eastAsia"/>
        </w:rPr>
        <w:t>十一、政府性基金预算财政拨款收入支出决算表</w:t>
      </w:r>
      <w:bookmarkEnd w:id="70"/>
      <w:bookmarkStart w:id="71" w:name="_Toc15396630"/>
    </w:p>
    <w:p w14:paraId="5E723DB4">
      <w:pPr>
        <w:ind w:firstLine="632" w:firstLineChars="200"/>
      </w:pPr>
      <w:r>
        <w:rPr>
          <w:rFonts w:hint="eastAsia"/>
        </w:rPr>
        <w:t>十二、政府性基金预算财政拨款“三公”经费支出决算表</w:t>
      </w:r>
      <w:bookmarkEnd w:id="71"/>
      <w:bookmarkStart w:id="72" w:name="_Toc15396631"/>
    </w:p>
    <w:p w14:paraId="748DDF59">
      <w:pPr>
        <w:ind w:firstLine="632" w:firstLineChars="200"/>
      </w:pPr>
      <w:r>
        <w:rPr>
          <w:rFonts w:hint="eastAsia"/>
        </w:rPr>
        <w:t>十三、国有资本经营预算支出决算表</w:t>
      </w:r>
      <w:bookmarkEnd w:id="72"/>
    </w:p>
    <w:sectPr>
      <w:headerReference r:id="rId3" w:type="default"/>
      <w:footerReference r:id="rId4" w:type="default"/>
      <w:pgSz w:w="11906" w:h="16838"/>
      <w:pgMar w:top="2098" w:right="1474" w:bottom="1985" w:left="1588" w:header="851" w:footer="992" w:gutter="0"/>
      <w:pgNumType w:start="1"/>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rFonts w:ascii="宋体" w:hAnsi="宋体" w:eastAsia="宋体"/>
        <w:sz w:val="28"/>
        <w:szCs w:val="28"/>
      </w:rPr>
    </w:sdtEndPr>
    <w:sdtContent>
      <w:p w14:paraId="31CC353C">
        <w:pPr>
          <w:pStyle w:val="8"/>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D6F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85EAF"/>
    <w:multiLevelType w:val="multilevel"/>
    <w:tmpl w:val="34F85EAF"/>
    <w:lvl w:ilvl="0" w:tentative="0">
      <w:start w:val="1"/>
      <w:numFmt w:val="chineseCountingThousand"/>
      <w:pStyle w:val="34"/>
      <w:suff w:val="nothing"/>
      <w:lvlText w:val="%1、"/>
      <w:lvlJc w:val="left"/>
      <w:pPr>
        <w:ind w:left="0" w:firstLine="637"/>
      </w:pPr>
      <w:rPr>
        <w:rFonts w:hint="eastAsia"/>
      </w:rPr>
    </w:lvl>
    <w:lvl w:ilvl="1" w:tentative="0">
      <w:start w:val="1"/>
      <w:numFmt w:val="lowerLetter"/>
      <w:lvlText w:val="%2)"/>
      <w:lvlJc w:val="left"/>
      <w:pPr>
        <w:ind w:left="1477" w:hanging="420"/>
      </w:pPr>
    </w:lvl>
    <w:lvl w:ilvl="2" w:tentative="0">
      <w:start w:val="2"/>
      <w:numFmt w:val="decimal"/>
      <w:lvlText w:val="%3."/>
      <w:lvlJc w:val="left"/>
      <w:pPr>
        <w:ind w:left="1837" w:hanging="360"/>
      </w:pPr>
      <w:rPr>
        <w:rFonts w:hint="default"/>
      </w:r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1">
    <w:nsid w:val="5B63281F"/>
    <w:multiLevelType w:val="multilevel"/>
    <w:tmpl w:val="5B63281F"/>
    <w:lvl w:ilvl="0" w:tentative="0">
      <w:start w:val="1"/>
      <w:numFmt w:val="decimal"/>
      <w:pStyle w:val="35"/>
      <w:suff w:val="nothing"/>
      <w:lvlText w:val="%1."/>
      <w:lvlJc w:val="left"/>
      <w:pPr>
        <w:ind w:left="216" w:firstLine="635"/>
      </w:pPr>
      <w:rPr>
        <w:rFonts w:hint="eastAsia"/>
      </w:rPr>
    </w:lvl>
    <w:lvl w:ilvl="1" w:tentative="0">
      <w:start w:val="1"/>
      <w:numFmt w:val="lowerLetter"/>
      <w:lvlText w:val="%2)"/>
      <w:lvlJc w:val="left"/>
      <w:pPr>
        <w:ind w:left="1475" w:hanging="420"/>
      </w:pPr>
    </w:lvl>
    <w:lvl w:ilvl="2" w:tentative="0">
      <w:start w:val="1"/>
      <w:numFmt w:val="lowerRoman"/>
      <w:lvlText w:val="%3."/>
      <w:lvlJc w:val="right"/>
      <w:pPr>
        <w:ind w:left="1895" w:hanging="420"/>
      </w:pPr>
    </w:lvl>
    <w:lvl w:ilvl="3" w:tentative="0">
      <w:start w:val="1"/>
      <w:numFmt w:val="decimal"/>
      <w:lvlText w:val="%4."/>
      <w:lvlJc w:val="left"/>
      <w:pPr>
        <w:ind w:left="2315" w:hanging="420"/>
      </w:pPr>
    </w:lvl>
    <w:lvl w:ilvl="4" w:tentative="0">
      <w:start w:val="1"/>
      <w:numFmt w:val="lowerLetter"/>
      <w:lvlText w:val="%5)"/>
      <w:lvlJc w:val="left"/>
      <w:pPr>
        <w:ind w:left="2735" w:hanging="420"/>
      </w:pPr>
    </w:lvl>
    <w:lvl w:ilvl="5" w:tentative="0">
      <w:start w:val="1"/>
      <w:numFmt w:val="lowerRoman"/>
      <w:lvlText w:val="%6."/>
      <w:lvlJc w:val="right"/>
      <w:pPr>
        <w:ind w:left="3155" w:hanging="420"/>
      </w:pPr>
    </w:lvl>
    <w:lvl w:ilvl="6" w:tentative="0">
      <w:start w:val="1"/>
      <w:numFmt w:val="decimal"/>
      <w:lvlText w:val="%7."/>
      <w:lvlJc w:val="left"/>
      <w:pPr>
        <w:ind w:left="3575" w:hanging="420"/>
      </w:pPr>
    </w:lvl>
    <w:lvl w:ilvl="7" w:tentative="0">
      <w:start w:val="1"/>
      <w:numFmt w:val="lowerLetter"/>
      <w:lvlText w:val="%8)"/>
      <w:lvlJc w:val="left"/>
      <w:pPr>
        <w:ind w:left="3995" w:hanging="420"/>
      </w:pPr>
    </w:lvl>
    <w:lvl w:ilvl="8" w:tentative="0">
      <w:start w:val="1"/>
      <w:numFmt w:val="lowerRoman"/>
      <w:lvlText w:val="%9."/>
      <w:lvlJc w:val="right"/>
      <w:pPr>
        <w:ind w:left="4415" w:hanging="420"/>
      </w:pPr>
    </w:lvl>
  </w:abstractNum>
  <w:abstractNum w:abstractNumId="2">
    <w:nsid w:val="7EE55BF3"/>
    <w:multiLevelType w:val="multilevel"/>
    <w:tmpl w:val="7EE55BF3"/>
    <w:lvl w:ilvl="0" w:tentative="0">
      <w:start w:val="1"/>
      <w:numFmt w:val="chineseCountingThousand"/>
      <w:pStyle w:val="32"/>
      <w:suff w:val="nothing"/>
      <w:lvlText w:val="（%1）"/>
      <w:lvlJc w:val="left"/>
      <w:pPr>
        <w:ind w:left="0"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2055"/>
    <w:rsid w:val="00007097"/>
    <w:rsid w:val="0001270C"/>
    <w:rsid w:val="00017E9E"/>
    <w:rsid w:val="000222C6"/>
    <w:rsid w:val="0002549F"/>
    <w:rsid w:val="000356A5"/>
    <w:rsid w:val="00040389"/>
    <w:rsid w:val="000468DB"/>
    <w:rsid w:val="00063BE0"/>
    <w:rsid w:val="0006487A"/>
    <w:rsid w:val="00065F8F"/>
    <w:rsid w:val="00070A43"/>
    <w:rsid w:val="000768F2"/>
    <w:rsid w:val="0009184B"/>
    <w:rsid w:val="00094236"/>
    <w:rsid w:val="0009593C"/>
    <w:rsid w:val="00097322"/>
    <w:rsid w:val="000A6A92"/>
    <w:rsid w:val="000B047F"/>
    <w:rsid w:val="000B572F"/>
    <w:rsid w:val="000B5923"/>
    <w:rsid w:val="000B5A48"/>
    <w:rsid w:val="000B6FF3"/>
    <w:rsid w:val="000C3467"/>
    <w:rsid w:val="000C3CA6"/>
    <w:rsid w:val="000C527D"/>
    <w:rsid w:val="000C59EA"/>
    <w:rsid w:val="000D1267"/>
    <w:rsid w:val="000D1D50"/>
    <w:rsid w:val="000D5782"/>
    <w:rsid w:val="000E4B60"/>
    <w:rsid w:val="000E64C1"/>
    <w:rsid w:val="000E6613"/>
    <w:rsid w:val="000E7119"/>
    <w:rsid w:val="000F0CC8"/>
    <w:rsid w:val="00103C9F"/>
    <w:rsid w:val="00107E6B"/>
    <w:rsid w:val="00114E9B"/>
    <w:rsid w:val="00115740"/>
    <w:rsid w:val="00121956"/>
    <w:rsid w:val="0012614F"/>
    <w:rsid w:val="00126714"/>
    <w:rsid w:val="00126CBB"/>
    <w:rsid w:val="00141723"/>
    <w:rsid w:val="00142216"/>
    <w:rsid w:val="0014337B"/>
    <w:rsid w:val="00144D6A"/>
    <w:rsid w:val="0014729F"/>
    <w:rsid w:val="00157BAB"/>
    <w:rsid w:val="001654D1"/>
    <w:rsid w:val="00174518"/>
    <w:rsid w:val="001770C4"/>
    <w:rsid w:val="001802B7"/>
    <w:rsid w:val="0018106D"/>
    <w:rsid w:val="001877A7"/>
    <w:rsid w:val="00191536"/>
    <w:rsid w:val="001919BE"/>
    <w:rsid w:val="001951D1"/>
    <w:rsid w:val="00196687"/>
    <w:rsid w:val="00197327"/>
    <w:rsid w:val="001C0962"/>
    <w:rsid w:val="001C39ED"/>
    <w:rsid w:val="001C7D87"/>
    <w:rsid w:val="001D6518"/>
    <w:rsid w:val="001D7531"/>
    <w:rsid w:val="001E737D"/>
    <w:rsid w:val="001F0592"/>
    <w:rsid w:val="001F1035"/>
    <w:rsid w:val="001F202E"/>
    <w:rsid w:val="001F7506"/>
    <w:rsid w:val="002006CD"/>
    <w:rsid w:val="00201B31"/>
    <w:rsid w:val="00202B36"/>
    <w:rsid w:val="00204B7A"/>
    <w:rsid w:val="00204CDE"/>
    <w:rsid w:val="0021101A"/>
    <w:rsid w:val="00220536"/>
    <w:rsid w:val="00225D19"/>
    <w:rsid w:val="0023079E"/>
    <w:rsid w:val="00235629"/>
    <w:rsid w:val="00244B6F"/>
    <w:rsid w:val="0025277C"/>
    <w:rsid w:val="002577CD"/>
    <w:rsid w:val="00260C38"/>
    <w:rsid w:val="002616C0"/>
    <w:rsid w:val="00265372"/>
    <w:rsid w:val="00265D04"/>
    <w:rsid w:val="00265FB7"/>
    <w:rsid w:val="002662AA"/>
    <w:rsid w:val="00280496"/>
    <w:rsid w:val="00282F13"/>
    <w:rsid w:val="00294DC9"/>
    <w:rsid w:val="00295495"/>
    <w:rsid w:val="00296224"/>
    <w:rsid w:val="00297431"/>
    <w:rsid w:val="002A31DE"/>
    <w:rsid w:val="002B033F"/>
    <w:rsid w:val="002B2613"/>
    <w:rsid w:val="002C231C"/>
    <w:rsid w:val="002D160B"/>
    <w:rsid w:val="002D19B0"/>
    <w:rsid w:val="002D6D05"/>
    <w:rsid w:val="002F1818"/>
    <w:rsid w:val="002F567B"/>
    <w:rsid w:val="003216A9"/>
    <w:rsid w:val="00334C44"/>
    <w:rsid w:val="00335A74"/>
    <w:rsid w:val="0036561B"/>
    <w:rsid w:val="0037013F"/>
    <w:rsid w:val="003732FB"/>
    <w:rsid w:val="003744D7"/>
    <w:rsid w:val="00380C92"/>
    <w:rsid w:val="00385E7F"/>
    <w:rsid w:val="0039095A"/>
    <w:rsid w:val="00396831"/>
    <w:rsid w:val="003A484F"/>
    <w:rsid w:val="003A4883"/>
    <w:rsid w:val="003A58F5"/>
    <w:rsid w:val="003B0BE0"/>
    <w:rsid w:val="003B0C1B"/>
    <w:rsid w:val="003B41CC"/>
    <w:rsid w:val="003B688C"/>
    <w:rsid w:val="003C0291"/>
    <w:rsid w:val="003C3652"/>
    <w:rsid w:val="003C39AE"/>
    <w:rsid w:val="003C4B29"/>
    <w:rsid w:val="003C7B60"/>
    <w:rsid w:val="003D0C0F"/>
    <w:rsid w:val="003D1FB2"/>
    <w:rsid w:val="003D66DA"/>
    <w:rsid w:val="003E1310"/>
    <w:rsid w:val="003E6F55"/>
    <w:rsid w:val="003F5C9E"/>
    <w:rsid w:val="003F7CB7"/>
    <w:rsid w:val="004046F1"/>
    <w:rsid w:val="00406254"/>
    <w:rsid w:val="00410622"/>
    <w:rsid w:val="00416CD4"/>
    <w:rsid w:val="00417F5B"/>
    <w:rsid w:val="004223DE"/>
    <w:rsid w:val="00434489"/>
    <w:rsid w:val="00437085"/>
    <w:rsid w:val="00443880"/>
    <w:rsid w:val="004464F4"/>
    <w:rsid w:val="00461641"/>
    <w:rsid w:val="00471401"/>
    <w:rsid w:val="00473F31"/>
    <w:rsid w:val="00482467"/>
    <w:rsid w:val="0048263A"/>
    <w:rsid w:val="00487E5D"/>
    <w:rsid w:val="0049188D"/>
    <w:rsid w:val="00491C95"/>
    <w:rsid w:val="00491E7B"/>
    <w:rsid w:val="004A711F"/>
    <w:rsid w:val="004B199D"/>
    <w:rsid w:val="004B2D02"/>
    <w:rsid w:val="004B4690"/>
    <w:rsid w:val="004C0931"/>
    <w:rsid w:val="004D0E23"/>
    <w:rsid w:val="004E0A2D"/>
    <w:rsid w:val="004E206B"/>
    <w:rsid w:val="004E6DF7"/>
    <w:rsid w:val="004E7E9E"/>
    <w:rsid w:val="004F0FBD"/>
    <w:rsid w:val="004F403E"/>
    <w:rsid w:val="004F543D"/>
    <w:rsid w:val="004F7B65"/>
    <w:rsid w:val="00505A47"/>
    <w:rsid w:val="00505C35"/>
    <w:rsid w:val="005117CC"/>
    <w:rsid w:val="005127B3"/>
    <w:rsid w:val="00512FDA"/>
    <w:rsid w:val="00515B46"/>
    <w:rsid w:val="005178BD"/>
    <w:rsid w:val="00520DA0"/>
    <w:rsid w:val="0056015D"/>
    <w:rsid w:val="005664BB"/>
    <w:rsid w:val="00566FFA"/>
    <w:rsid w:val="0057481D"/>
    <w:rsid w:val="00575F0B"/>
    <w:rsid w:val="0058486E"/>
    <w:rsid w:val="00585B33"/>
    <w:rsid w:val="0059014D"/>
    <w:rsid w:val="005915BE"/>
    <w:rsid w:val="005A1958"/>
    <w:rsid w:val="005B03DF"/>
    <w:rsid w:val="005B5C64"/>
    <w:rsid w:val="005C4DBA"/>
    <w:rsid w:val="005C6BD0"/>
    <w:rsid w:val="005C6C4C"/>
    <w:rsid w:val="005D1C8B"/>
    <w:rsid w:val="005D468D"/>
    <w:rsid w:val="005D5CED"/>
    <w:rsid w:val="005E0A8E"/>
    <w:rsid w:val="005F1A4C"/>
    <w:rsid w:val="00605688"/>
    <w:rsid w:val="006070AF"/>
    <w:rsid w:val="00607E6C"/>
    <w:rsid w:val="006101B1"/>
    <w:rsid w:val="00614839"/>
    <w:rsid w:val="00614E44"/>
    <w:rsid w:val="0062270A"/>
    <w:rsid w:val="00622830"/>
    <w:rsid w:val="00622848"/>
    <w:rsid w:val="00623DA0"/>
    <w:rsid w:val="00630AEF"/>
    <w:rsid w:val="006325F8"/>
    <w:rsid w:val="00633463"/>
    <w:rsid w:val="00634C9A"/>
    <w:rsid w:val="00637B7B"/>
    <w:rsid w:val="006440E4"/>
    <w:rsid w:val="00650168"/>
    <w:rsid w:val="0065683B"/>
    <w:rsid w:val="0066343B"/>
    <w:rsid w:val="00664777"/>
    <w:rsid w:val="006748A4"/>
    <w:rsid w:val="00681A31"/>
    <w:rsid w:val="00683E73"/>
    <w:rsid w:val="006A3141"/>
    <w:rsid w:val="006A5E34"/>
    <w:rsid w:val="006B2422"/>
    <w:rsid w:val="006B25B4"/>
    <w:rsid w:val="006B2B9A"/>
    <w:rsid w:val="006C1937"/>
    <w:rsid w:val="006C1B49"/>
    <w:rsid w:val="006C347E"/>
    <w:rsid w:val="006E6398"/>
    <w:rsid w:val="006F020C"/>
    <w:rsid w:val="006F067F"/>
    <w:rsid w:val="006F2B15"/>
    <w:rsid w:val="006F4805"/>
    <w:rsid w:val="00705B70"/>
    <w:rsid w:val="007127B7"/>
    <w:rsid w:val="00716D8A"/>
    <w:rsid w:val="0071798E"/>
    <w:rsid w:val="00727533"/>
    <w:rsid w:val="00733D58"/>
    <w:rsid w:val="007416B6"/>
    <w:rsid w:val="00746F48"/>
    <w:rsid w:val="00747E82"/>
    <w:rsid w:val="0075404D"/>
    <w:rsid w:val="00756107"/>
    <w:rsid w:val="0076182A"/>
    <w:rsid w:val="0076648F"/>
    <w:rsid w:val="00767B7E"/>
    <w:rsid w:val="00773158"/>
    <w:rsid w:val="0077347B"/>
    <w:rsid w:val="007770C3"/>
    <w:rsid w:val="00784D24"/>
    <w:rsid w:val="00785FBA"/>
    <w:rsid w:val="00786E4A"/>
    <w:rsid w:val="007875EB"/>
    <w:rsid w:val="0079426B"/>
    <w:rsid w:val="007A5D61"/>
    <w:rsid w:val="007B74AA"/>
    <w:rsid w:val="007C2CF0"/>
    <w:rsid w:val="007D1682"/>
    <w:rsid w:val="007D312A"/>
    <w:rsid w:val="007D3F19"/>
    <w:rsid w:val="007E23B0"/>
    <w:rsid w:val="007E7503"/>
    <w:rsid w:val="007F1991"/>
    <w:rsid w:val="007F2619"/>
    <w:rsid w:val="007F2C2F"/>
    <w:rsid w:val="007F55FC"/>
    <w:rsid w:val="007F5665"/>
    <w:rsid w:val="00800112"/>
    <w:rsid w:val="00801165"/>
    <w:rsid w:val="0080284D"/>
    <w:rsid w:val="00806F34"/>
    <w:rsid w:val="008131CC"/>
    <w:rsid w:val="00813348"/>
    <w:rsid w:val="00813E57"/>
    <w:rsid w:val="008253BB"/>
    <w:rsid w:val="00827DBB"/>
    <w:rsid w:val="00833962"/>
    <w:rsid w:val="0083706E"/>
    <w:rsid w:val="008408F6"/>
    <w:rsid w:val="008423A5"/>
    <w:rsid w:val="00850625"/>
    <w:rsid w:val="00853718"/>
    <w:rsid w:val="00855221"/>
    <w:rsid w:val="00860645"/>
    <w:rsid w:val="00864459"/>
    <w:rsid w:val="0087145B"/>
    <w:rsid w:val="00871F71"/>
    <w:rsid w:val="00872FD8"/>
    <w:rsid w:val="008779B2"/>
    <w:rsid w:val="00885AF4"/>
    <w:rsid w:val="008939CD"/>
    <w:rsid w:val="00895536"/>
    <w:rsid w:val="008962D5"/>
    <w:rsid w:val="008B0338"/>
    <w:rsid w:val="008B768C"/>
    <w:rsid w:val="008C35CD"/>
    <w:rsid w:val="008C4DB1"/>
    <w:rsid w:val="008C4EAF"/>
    <w:rsid w:val="008C5176"/>
    <w:rsid w:val="008C55BB"/>
    <w:rsid w:val="008C7FD0"/>
    <w:rsid w:val="008E1DE7"/>
    <w:rsid w:val="008E5815"/>
    <w:rsid w:val="008E707C"/>
    <w:rsid w:val="00900B08"/>
    <w:rsid w:val="00902155"/>
    <w:rsid w:val="00902FA3"/>
    <w:rsid w:val="00915654"/>
    <w:rsid w:val="00923564"/>
    <w:rsid w:val="0092392E"/>
    <w:rsid w:val="009315F9"/>
    <w:rsid w:val="00933499"/>
    <w:rsid w:val="00933E93"/>
    <w:rsid w:val="009342AA"/>
    <w:rsid w:val="00935C98"/>
    <w:rsid w:val="00937CC7"/>
    <w:rsid w:val="00946945"/>
    <w:rsid w:val="0094699E"/>
    <w:rsid w:val="00951248"/>
    <w:rsid w:val="0095152F"/>
    <w:rsid w:val="00951BD2"/>
    <w:rsid w:val="00953111"/>
    <w:rsid w:val="00954C49"/>
    <w:rsid w:val="00955E37"/>
    <w:rsid w:val="0097099F"/>
    <w:rsid w:val="00971997"/>
    <w:rsid w:val="00971FFC"/>
    <w:rsid w:val="00972D5E"/>
    <w:rsid w:val="00981FA1"/>
    <w:rsid w:val="0098660A"/>
    <w:rsid w:val="00987D72"/>
    <w:rsid w:val="009931C3"/>
    <w:rsid w:val="00995699"/>
    <w:rsid w:val="009B2C43"/>
    <w:rsid w:val="009B4B10"/>
    <w:rsid w:val="009B4EAE"/>
    <w:rsid w:val="009B7573"/>
    <w:rsid w:val="009C22F4"/>
    <w:rsid w:val="009C2E98"/>
    <w:rsid w:val="009C37FB"/>
    <w:rsid w:val="009D3447"/>
    <w:rsid w:val="009D4711"/>
    <w:rsid w:val="009D6FA4"/>
    <w:rsid w:val="009F1185"/>
    <w:rsid w:val="009F18CD"/>
    <w:rsid w:val="009F2A13"/>
    <w:rsid w:val="009F708C"/>
    <w:rsid w:val="009F7527"/>
    <w:rsid w:val="00A039ED"/>
    <w:rsid w:val="00A04EB0"/>
    <w:rsid w:val="00A13CC1"/>
    <w:rsid w:val="00A16399"/>
    <w:rsid w:val="00A16847"/>
    <w:rsid w:val="00A237D8"/>
    <w:rsid w:val="00A268C4"/>
    <w:rsid w:val="00A27954"/>
    <w:rsid w:val="00A307CD"/>
    <w:rsid w:val="00A3227E"/>
    <w:rsid w:val="00A331C8"/>
    <w:rsid w:val="00A35117"/>
    <w:rsid w:val="00A3748F"/>
    <w:rsid w:val="00A40A00"/>
    <w:rsid w:val="00A4142F"/>
    <w:rsid w:val="00A422EB"/>
    <w:rsid w:val="00A42DD7"/>
    <w:rsid w:val="00A44314"/>
    <w:rsid w:val="00A45BB7"/>
    <w:rsid w:val="00A505B1"/>
    <w:rsid w:val="00A530AE"/>
    <w:rsid w:val="00A56DF2"/>
    <w:rsid w:val="00A56E6E"/>
    <w:rsid w:val="00A6119F"/>
    <w:rsid w:val="00A67133"/>
    <w:rsid w:val="00A67AB5"/>
    <w:rsid w:val="00A67F42"/>
    <w:rsid w:val="00A733B2"/>
    <w:rsid w:val="00A741C2"/>
    <w:rsid w:val="00A91760"/>
    <w:rsid w:val="00A93B00"/>
    <w:rsid w:val="00A93C21"/>
    <w:rsid w:val="00A95020"/>
    <w:rsid w:val="00AA2F51"/>
    <w:rsid w:val="00AB6285"/>
    <w:rsid w:val="00AB64C9"/>
    <w:rsid w:val="00AC3C6A"/>
    <w:rsid w:val="00AC3D32"/>
    <w:rsid w:val="00AD0F83"/>
    <w:rsid w:val="00AD5620"/>
    <w:rsid w:val="00AD656B"/>
    <w:rsid w:val="00AD7C1B"/>
    <w:rsid w:val="00AE16BA"/>
    <w:rsid w:val="00AE1EBE"/>
    <w:rsid w:val="00B03C9D"/>
    <w:rsid w:val="00B060AE"/>
    <w:rsid w:val="00B10517"/>
    <w:rsid w:val="00B14E76"/>
    <w:rsid w:val="00B161B8"/>
    <w:rsid w:val="00B2048C"/>
    <w:rsid w:val="00B23E8C"/>
    <w:rsid w:val="00B24235"/>
    <w:rsid w:val="00B26AE8"/>
    <w:rsid w:val="00B310B9"/>
    <w:rsid w:val="00B35F3F"/>
    <w:rsid w:val="00B36CBB"/>
    <w:rsid w:val="00B425E0"/>
    <w:rsid w:val="00B440AA"/>
    <w:rsid w:val="00B44B70"/>
    <w:rsid w:val="00B52D10"/>
    <w:rsid w:val="00B53C56"/>
    <w:rsid w:val="00B57DAF"/>
    <w:rsid w:val="00B76992"/>
    <w:rsid w:val="00B77EA6"/>
    <w:rsid w:val="00B81598"/>
    <w:rsid w:val="00B841F1"/>
    <w:rsid w:val="00B944D6"/>
    <w:rsid w:val="00BB3FC3"/>
    <w:rsid w:val="00BB4DF0"/>
    <w:rsid w:val="00BC289F"/>
    <w:rsid w:val="00BC2D50"/>
    <w:rsid w:val="00BC5361"/>
    <w:rsid w:val="00BC5460"/>
    <w:rsid w:val="00BC6B50"/>
    <w:rsid w:val="00BD0E25"/>
    <w:rsid w:val="00BE63D7"/>
    <w:rsid w:val="00BF5BD6"/>
    <w:rsid w:val="00C03112"/>
    <w:rsid w:val="00C03E31"/>
    <w:rsid w:val="00C138A5"/>
    <w:rsid w:val="00C27B3E"/>
    <w:rsid w:val="00C30E69"/>
    <w:rsid w:val="00C33E72"/>
    <w:rsid w:val="00C354B2"/>
    <w:rsid w:val="00C35554"/>
    <w:rsid w:val="00C42709"/>
    <w:rsid w:val="00C533CC"/>
    <w:rsid w:val="00C5751C"/>
    <w:rsid w:val="00C61BFC"/>
    <w:rsid w:val="00C62B85"/>
    <w:rsid w:val="00C65438"/>
    <w:rsid w:val="00C72291"/>
    <w:rsid w:val="00C7672E"/>
    <w:rsid w:val="00C86549"/>
    <w:rsid w:val="00C91CBB"/>
    <w:rsid w:val="00C92933"/>
    <w:rsid w:val="00C94F27"/>
    <w:rsid w:val="00CB4E70"/>
    <w:rsid w:val="00CC09B6"/>
    <w:rsid w:val="00CC666F"/>
    <w:rsid w:val="00CD1E3F"/>
    <w:rsid w:val="00CE44F6"/>
    <w:rsid w:val="00CE49DA"/>
    <w:rsid w:val="00CE7B61"/>
    <w:rsid w:val="00D00095"/>
    <w:rsid w:val="00D106CC"/>
    <w:rsid w:val="00D10974"/>
    <w:rsid w:val="00D114F0"/>
    <w:rsid w:val="00D20620"/>
    <w:rsid w:val="00D254F7"/>
    <w:rsid w:val="00D26091"/>
    <w:rsid w:val="00D2685C"/>
    <w:rsid w:val="00D30146"/>
    <w:rsid w:val="00D304D9"/>
    <w:rsid w:val="00D34E7C"/>
    <w:rsid w:val="00D35489"/>
    <w:rsid w:val="00D36AFE"/>
    <w:rsid w:val="00D51276"/>
    <w:rsid w:val="00D627E7"/>
    <w:rsid w:val="00D7035F"/>
    <w:rsid w:val="00D81219"/>
    <w:rsid w:val="00D86B41"/>
    <w:rsid w:val="00DA1A80"/>
    <w:rsid w:val="00DA634F"/>
    <w:rsid w:val="00DA65AC"/>
    <w:rsid w:val="00DB1913"/>
    <w:rsid w:val="00DB3047"/>
    <w:rsid w:val="00DC1F1D"/>
    <w:rsid w:val="00DC410D"/>
    <w:rsid w:val="00DC431E"/>
    <w:rsid w:val="00DC5A81"/>
    <w:rsid w:val="00DC68CA"/>
    <w:rsid w:val="00DC7CBA"/>
    <w:rsid w:val="00DD73B7"/>
    <w:rsid w:val="00DD7AB2"/>
    <w:rsid w:val="00DF18D6"/>
    <w:rsid w:val="00DF28BC"/>
    <w:rsid w:val="00DF34B9"/>
    <w:rsid w:val="00E01053"/>
    <w:rsid w:val="00E07ACF"/>
    <w:rsid w:val="00E15F6C"/>
    <w:rsid w:val="00E20A23"/>
    <w:rsid w:val="00E331A1"/>
    <w:rsid w:val="00E33202"/>
    <w:rsid w:val="00E336A9"/>
    <w:rsid w:val="00E35336"/>
    <w:rsid w:val="00E35C0D"/>
    <w:rsid w:val="00E472B1"/>
    <w:rsid w:val="00E50624"/>
    <w:rsid w:val="00E568DF"/>
    <w:rsid w:val="00E64269"/>
    <w:rsid w:val="00E66797"/>
    <w:rsid w:val="00E76FD9"/>
    <w:rsid w:val="00E82267"/>
    <w:rsid w:val="00E853CE"/>
    <w:rsid w:val="00E867B6"/>
    <w:rsid w:val="00E87F08"/>
    <w:rsid w:val="00E97604"/>
    <w:rsid w:val="00EA010F"/>
    <w:rsid w:val="00EA3D19"/>
    <w:rsid w:val="00EA7CED"/>
    <w:rsid w:val="00EB06EF"/>
    <w:rsid w:val="00EB2E6B"/>
    <w:rsid w:val="00EB6583"/>
    <w:rsid w:val="00EB68FA"/>
    <w:rsid w:val="00ED1B63"/>
    <w:rsid w:val="00ED3C1F"/>
    <w:rsid w:val="00ED4085"/>
    <w:rsid w:val="00ED420E"/>
    <w:rsid w:val="00ED6FBE"/>
    <w:rsid w:val="00EE2F57"/>
    <w:rsid w:val="00EF4C34"/>
    <w:rsid w:val="00EF77C6"/>
    <w:rsid w:val="00F05405"/>
    <w:rsid w:val="00F05438"/>
    <w:rsid w:val="00F0775C"/>
    <w:rsid w:val="00F123CE"/>
    <w:rsid w:val="00F1361C"/>
    <w:rsid w:val="00F13EFA"/>
    <w:rsid w:val="00F156F0"/>
    <w:rsid w:val="00F160C7"/>
    <w:rsid w:val="00F17CC5"/>
    <w:rsid w:val="00F220A3"/>
    <w:rsid w:val="00F23A12"/>
    <w:rsid w:val="00F2408F"/>
    <w:rsid w:val="00F240E9"/>
    <w:rsid w:val="00F31765"/>
    <w:rsid w:val="00F36D8F"/>
    <w:rsid w:val="00F417B1"/>
    <w:rsid w:val="00F45853"/>
    <w:rsid w:val="00F524A9"/>
    <w:rsid w:val="00F529C1"/>
    <w:rsid w:val="00F56749"/>
    <w:rsid w:val="00F602DF"/>
    <w:rsid w:val="00F7292C"/>
    <w:rsid w:val="00F754A1"/>
    <w:rsid w:val="00F76CC2"/>
    <w:rsid w:val="00F81FD9"/>
    <w:rsid w:val="00F841AA"/>
    <w:rsid w:val="00F84A94"/>
    <w:rsid w:val="00F87479"/>
    <w:rsid w:val="00F87E96"/>
    <w:rsid w:val="00F93CC7"/>
    <w:rsid w:val="00FA23E8"/>
    <w:rsid w:val="00FB6D4E"/>
    <w:rsid w:val="00FC7960"/>
    <w:rsid w:val="00FD3CC1"/>
    <w:rsid w:val="00FD6228"/>
    <w:rsid w:val="00FE19C8"/>
    <w:rsid w:val="00FF1E02"/>
    <w:rsid w:val="00FF30B4"/>
    <w:rsid w:val="10C055FF"/>
    <w:rsid w:val="16BB723D"/>
    <w:rsid w:val="1C817C13"/>
    <w:rsid w:val="240371BF"/>
    <w:rsid w:val="29FD04D3"/>
    <w:rsid w:val="319F7F4E"/>
    <w:rsid w:val="4ECE2238"/>
    <w:rsid w:val="7273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9"/>
    <w:unhideWhenUsed/>
    <w:qFormat/>
    <w:uiPriority w:val="9"/>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C01〗正文"/>
    <w:basedOn w:val="1"/>
    <w:qFormat/>
    <w:uiPriority w:val="0"/>
    <w:pPr>
      <w:topLinePunct/>
      <w:spacing w:line="600" w:lineRule="exact"/>
      <w:ind w:firstLine="640" w:firstLineChars="200"/>
    </w:pPr>
    <w:rPr>
      <w:rFonts w:ascii="仿宋_GB2312" w:hAnsi="Calibri"/>
      <w:szCs w:val="32"/>
    </w:rPr>
  </w:style>
  <w:style w:type="paragraph" w:customStyle="1" w:styleId="32">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3">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4">
    <w:name w:val="〖B01〗一级标题"/>
    <w:next w:val="1"/>
    <w:qFormat/>
    <w:uiPriority w:val="0"/>
    <w:pPr>
      <w:numPr>
        <w:ilvl w:val="0"/>
        <w:numId w:val="2"/>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35">
    <w:name w:val="〖B03〗三级标题"/>
    <w:basedOn w:val="1"/>
    <w:qFormat/>
    <w:uiPriority w:val="0"/>
    <w:pPr>
      <w:numPr>
        <w:ilvl w:val="0"/>
        <w:numId w:val="3"/>
      </w:numPr>
      <w:topLinePunct/>
      <w:spacing w:line="600" w:lineRule="exact"/>
      <w:outlineLvl w:val="2"/>
    </w:pPr>
    <w:rPr>
      <w:rFonts w:ascii="楷体_GB2312" w:hAnsi="Calibri" w:eastAsia="楷体_GB231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1685.78</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1685.78</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年度收入</c:v>
                </c:pt>
                <c:pt idx="1">
                  <c:v>年度支出</c:v>
                </c:pt>
              </c:strCache>
            </c:strRef>
          </c:cat>
          <c:val>
            <c:numRef>
              <c:f>Sheet1!$B$2:$B$3</c:f>
              <c:numCache>
                <c:formatCode>General</c:formatCode>
                <c:ptCount val="2"/>
                <c:pt idx="0">
                  <c:v>1685.78</c:v>
                </c:pt>
                <c:pt idx="1">
                  <c:v>1685.78</c:v>
                </c:pt>
              </c:numCache>
            </c:numRef>
          </c:val>
        </c:ser>
        <c:ser>
          <c:idx val="1"/>
          <c:order val="1"/>
          <c:tx>
            <c:strRef>
              <c:f>Sheet1!$C$1</c:f>
              <c:strCache>
                <c:ptCount val="1"/>
                <c:pt idx="0">
                  <c:v>2019年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1696.7</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1696.7</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年度收入</c:v>
                </c:pt>
                <c:pt idx="1">
                  <c:v>年度支出</c:v>
                </c:pt>
              </c:strCache>
            </c:strRef>
          </c:cat>
          <c:val>
            <c:numRef>
              <c:f>Sheet1!$C$2:$C$3</c:f>
              <c:numCache>
                <c:formatCode>General</c:formatCode>
                <c:ptCount val="2"/>
                <c:pt idx="0">
                  <c:v>1696.7</c:v>
                </c:pt>
                <c:pt idx="1">
                  <c:v>1696.7</c:v>
                </c:pt>
              </c:numCache>
            </c:numRef>
          </c:val>
        </c:ser>
        <c:dLbls>
          <c:showLegendKey val="0"/>
          <c:showVal val="1"/>
          <c:showCatName val="0"/>
          <c:showSerName val="0"/>
          <c:showPercent val="0"/>
          <c:showBubbleSize val="0"/>
        </c:dLbls>
        <c:gapWidth val="150"/>
        <c:axId val="169945728"/>
        <c:axId val="169951616"/>
      </c:barChart>
      <c:catAx>
        <c:axId val="16994572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951616"/>
        <c:crosses val="autoZero"/>
        <c:auto val="1"/>
        <c:lblAlgn val="ctr"/>
        <c:lblOffset val="100"/>
        <c:noMultiLvlLbl val="0"/>
      </c:catAx>
      <c:valAx>
        <c:axId val="169951616"/>
        <c:scaling>
          <c:orientation val="minMax"/>
          <c:max val="1800"/>
          <c:min val="150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945728"/>
        <c:crosses val="autoZero"/>
        <c:crossBetween val="between"/>
        <c:majorUnit val="30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0db9597-5bba-4d1b-a8c9-a33087223231}"/>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   财政拨款收入
</a:t>
                    </a:r>
                    <a:r>
                      <a:rPr lang="en-US" altLang="zh-CN"/>
                      <a:t>1696.69</a:t>
                    </a:r>
                    <a:r>
                      <a:rPr lang="zh-CN" altLang="en-US"/>
                      <a:t>万元</a:t>
                    </a:r>
                    <a:r>
                      <a:rPr lang="en-US" altLang="zh-CN"/>
                      <a:t>
100%</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1696.69</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f1eb0921-c0a3-4cb0-bf91-000048dafa6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
</a:t>
                    </a:r>
                    <a:r>
                      <a:rPr lang="en-US" altLang="zh-CN"/>
                      <a:t>842.76</a:t>
                    </a:r>
                    <a:r>
                      <a:rPr lang="zh-CN" altLang="en-US"/>
                      <a:t>万元</a:t>
                    </a:r>
                    <a:r>
                      <a:rPr lang="en-US" altLang="zh-CN"/>
                      <a:t>
49.67%</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
</a:t>
                    </a:r>
                    <a:r>
                      <a:rPr lang="en-US" altLang="zh-CN"/>
                      <a:t>853.93</a:t>
                    </a:r>
                    <a:r>
                      <a:rPr lang="zh-CN" altLang="en-US"/>
                      <a:t>万元</a:t>
                    </a:r>
                    <a:r>
                      <a:rPr lang="en-US" altLang="zh-CN"/>
                      <a:t>
50.33%</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842.76</c:v>
                </c:pt>
                <c:pt idx="1">
                  <c:v>853.93</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d9c0932c-e217-4bb2-b8a8-20d8db2faba4}"/>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1682.15</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1682.15</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1682.15</c:v>
                </c:pt>
                <c:pt idx="1">
                  <c:v>1682.15</c:v>
                </c:pt>
              </c:numCache>
            </c:numRef>
          </c:val>
        </c:ser>
        <c:ser>
          <c:idx val="1"/>
          <c:order val="1"/>
          <c:tx>
            <c:strRef>
              <c:f>Sheet1!$C$1</c:f>
              <c:strCache>
                <c:ptCount val="1"/>
                <c:pt idx="0">
                  <c:v>2019年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1696.69</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1696.69</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1696.69</c:v>
                </c:pt>
                <c:pt idx="1">
                  <c:v>1696.69</c:v>
                </c:pt>
              </c:numCache>
            </c:numRef>
          </c:val>
        </c:ser>
        <c:dLbls>
          <c:showLegendKey val="0"/>
          <c:showVal val="1"/>
          <c:showCatName val="0"/>
          <c:showSerName val="0"/>
          <c:showPercent val="0"/>
          <c:showBubbleSize val="0"/>
        </c:dLbls>
        <c:gapWidth val="150"/>
        <c:axId val="170078976"/>
        <c:axId val="170080512"/>
      </c:barChart>
      <c:catAx>
        <c:axId val="1700789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080512"/>
        <c:crosses val="autoZero"/>
        <c:auto val="1"/>
        <c:lblAlgn val="ctr"/>
        <c:lblOffset val="100"/>
        <c:noMultiLvlLbl val="0"/>
      </c:catAx>
      <c:valAx>
        <c:axId val="170080512"/>
        <c:scaling>
          <c:orientation val="minMax"/>
          <c:max val="1800"/>
          <c:min val="15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078976"/>
        <c:crosses val="autoZero"/>
        <c:crossBetween val="between"/>
        <c:majorUnit val="30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f133720-f4e6-4189-8415-c9b8b4534fd2}"/>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1677.15</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1677.15</c:v>
                </c:pt>
              </c:numCache>
            </c:numRef>
          </c:val>
        </c:ser>
        <c:ser>
          <c:idx val="1"/>
          <c:order val="1"/>
          <c:tx>
            <c:strRef>
              <c:f>Sheet1!$C$1</c:f>
              <c:strCache>
                <c:ptCount val="1"/>
                <c:pt idx="0">
                  <c:v>2019年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1696.69</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1696.69</c:v>
                </c:pt>
              </c:numCache>
            </c:numRef>
          </c:val>
        </c:ser>
        <c:dLbls>
          <c:showLegendKey val="0"/>
          <c:showVal val="1"/>
          <c:showCatName val="0"/>
          <c:showSerName val="0"/>
          <c:showPercent val="0"/>
          <c:showBubbleSize val="0"/>
        </c:dLbls>
        <c:gapWidth val="400"/>
        <c:axId val="170228736"/>
        <c:axId val="170230528"/>
      </c:barChart>
      <c:catAx>
        <c:axId val="1702287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230528"/>
        <c:crosses val="autoZero"/>
        <c:auto val="1"/>
        <c:lblAlgn val="ctr"/>
        <c:lblOffset val="100"/>
        <c:noMultiLvlLbl val="0"/>
      </c:catAx>
      <c:valAx>
        <c:axId val="170230528"/>
        <c:scaling>
          <c:orientation val="minMax"/>
          <c:max val="1800"/>
          <c:min val="15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0228736"/>
        <c:crosses val="autoZero"/>
        <c:crossBetween val="between"/>
        <c:majorUnit val="30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3399202-c08b-4cb0-9fa2-c63d2fb9cdd9}"/>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一般公共服务支出
</a:t>
                    </a:r>
                    <a:r>
                      <a:rPr lang="en-US" altLang="zh-CN"/>
                      <a:t>1078.69</a:t>
                    </a:r>
                    <a:r>
                      <a:rPr lang="zh-CN" altLang="en-US"/>
                      <a:t>万元</a:t>
                    </a:r>
                    <a:r>
                      <a:rPr lang="en-US" altLang="zh-CN"/>
                      <a:t>
63.58%</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社会保障和就业支出
</a:t>
                    </a:r>
                    <a:r>
                      <a:rPr lang="en-US" altLang="zh-CN"/>
                      <a:t>238.34</a:t>
                    </a:r>
                    <a:r>
                      <a:rPr lang="zh-CN" altLang="en-US"/>
                      <a:t>万元</a:t>
                    </a:r>
                    <a:r>
                      <a:rPr lang="en-US" altLang="zh-CN"/>
                      <a:t>
14.05%</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
</a:t>
                    </a:r>
                    <a:r>
                      <a:rPr lang="en-US" altLang="zh-CN"/>
                      <a:t>50.6</a:t>
                    </a:r>
                    <a:r>
                      <a:rPr lang="zh-CN" altLang="en-US"/>
                      <a:t>万元</a:t>
                    </a:r>
                    <a:r>
                      <a:rPr lang="en-US" altLang="zh-CN"/>
                      <a:t>
2.98%</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农林水支出
</a:t>
                    </a:r>
                    <a:r>
                      <a:rPr lang="en-US" altLang="zh-CN"/>
                      <a:t>108.54</a:t>
                    </a:r>
                    <a:r>
                      <a:rPr lang="zh-CN" altLang="en-US"/>
                      <a:t>万元</a:t>
                    </a:r>
                    <a:r>
                      <a:rPr lang="en-US" altLang="zh-CN"/>
                      <a:t>
6.40%</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住房保障支出
</a:t>
                    </a:r>
                    <a:r>
                      <a:rPr lang="en-US" altLang="zh-CN"/>
                      <a:t>220.52</a:t>
                    </a:r>
                    <a:r>
                      <a:rPr lang="zh-CN" altLang="en-US"/>
                      <a:t>万元</a:t>
                    </a:r>
                    <a:r>
                      <a:rPr lang="en-US" altLang="zh-CN"/>
                      <a:t>
13.00%</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社会保障和就业支出</c:v>
                </c:pt>
                <c:pt idx="2">
                  <c:v>卫生健康支出</c:v>
                </c:pt>
                <c:pt idx="3">
                  <c:v>农林水支出</c:v>
                </c:pt>
                <c:pt idx="4">
                  <c:v>住房保障支出</c:v>
                </c:pt>
              </c:strCache>
            </c:strRef>
          </c:cat>
          <c:val>
            <c:numRef>
              <c:f>Sheet1!$B$2:$B$6</c:f>
              <c:numCache>
                <c:formatCode>General</c:formatCode>
                <c:ptCount val="5"/>
                <c:pt idx="0">
                  <c:v>1078.69</c:v>
                </c:pt>
                <c:pt idx="1">
                  <c:v>238.34</c:v>
                </c:pt>
                <c:pt idx="2">
                  <c:v>50.6</c:v>
                </c:pt>
                <c:pt idx="3">
                  <c:v>108.54</c:v>
                </c:pt>
                <c:pt idx="4">
                  <c:v>220.53</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224aa144-53ea-481b-a6fc-ccfee1c5cb9d}"/>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因公出国（境）费支出
</a:t>
                    </a:r>
                    <a:r>
                      <a:rPr lang="en-US" altLang="zh-CN"/>
                      <a:t>7.53</a:t>
                    </a:r>
                    <a:r>
                      <a:rPr lang="zh-CN" altLang="en-US"/>
                      <a:t>万元</a:t>
                    </a:r>
                    <a:r>
                      <a:rPr lang="en-US" altLang="zh-CN"/>
                      <a:t>
30.62%</a:t>
                    </a:r>
                    <a:endParaRPr lang="en-US" altLang="zh-CN"/>
                  </a:p>
                </c:rich>
              </c:tx>
              <c:dLblPos val="inEnd"/>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公务用车购置及运行维护费支出
</a:t>
                    </a:r>
                    <a:r>
                      <a:rPr lang="en-US" altLang="zh-CN"/>
                      <a:t>2.74</a:t>
                    </a:r>
                    <a:r>
                      <a:rPr lang="zh-CN" altLang="en-US"/>
                      <a:t>万元</a:t>
                    </a:r>
                    <a:r>
                      <a:rPr lang="en-US" altLang="zh-CN"/>
                      <a:t>
11.14%</a:t>
                    </a:r>
                    <a:endParaRPr lang="en-US" altLang="zh-CN"/>
                  </a:p>
                </c:rich>
              </c:tx>
              <c:dLblPos val="inEnd"/>
              <c:showLegendKey val="0"/>
              <c:showVal val="1"/>
              <c:showCatName val="1"/>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公务接待费支出
</a:t>
                    </a:r>
                    <a:r>
                      <a:rPr lang="en-US" altLang="zh-CN"/>
                      <a:t>14.32</a:t>
                    </a:r>
                    <a:r>
                      <a:rPr lang="zh-CN" altLang="en-US"/>
                      <a:t>万元</a:t>
                    </a:r>
                    <a:r>
                      <a:rPr lang="en-US" altLang="zh-CN"/>
                      <a:t>
58.24%</a:t>
                    </a:r>
                    <a:endParaRPr lang="en-US" altLang="zh-CN"/>
                  </a:p>
                </c:rich>
              </c:tx>
              <c:dLblPos val="inEnd"/>
              <c:showLegendKey val="0"/>
              <c:showVal val="1"/>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7.53</c:v>
                </c:pt>
                <c:pt idx="1">
                  <c:v>2.74</c:v>
                </c:pt>
                <c:pt idx="2">
                  <c:v>14.32</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1acbb95-94ed-479a-964a-4c70a02d3f06}"/>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7A3D-B664-425D-9505-85C873A0C00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2140</Words>
  <Characters>2193</Characters>
  <Lines>103</Lines>
  <Paragraphs>29</Paragraphs>
  <TotalTime>62</TotalTime>
  <ScaleCrop>false</ScaleCrop>
  <LinksUpToDate>false</LinksUpToDate>
  <CharactersWithSpaces>2196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2020-09-28T09:31:00Z</dcterms:created>
  <dc:creator>曹颖</dc:creator>
  <cp:lastModifiedBy>程鹏颖</cp:lastModifiedBy>
  <cp:lastPrinted>2020-09-29T06:27:00Z</cp:lastPrinted>
  <dcterms:modified xsi:type="dcterms:W3CDTF">2024-12-18T08:16:51Z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CC52114AD0024563823734495C90E580_12</vt:lpwstr>
  </property>
</Properties>
</file>