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47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7426"/>
      <w:bookmarkStart w:id="9" w:name="_Toc15378442"/>
      <w:bookmarkStart w:id="10" w:name="_Toc15396476"/>
      <w:bookmarkStart w:id="73" w:name="_GoBack"/>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乐山市高新区财政局部门决算</w:t>
      </w:r>
      <w:bookmarkEnd w:id="73"/>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rFonts w:ascii="仿宋_GB2312" w:hAnsi="仿宋_GB2312" w:eastAsia="仿宋_GB2312" w:cs="仿宋_GB2312"/>
        </w:rPr>
      </w:pPr>
      <w:r>
        <w:rPr>
          <w:rFonts w:hint="eastAsia" w:ascii="仿宋_GB2312" w:hAnsi="仿宋_GB2312" w:eastAsia="仿宋_GB2312" w:cs="仿宋_GB2312"/>
        </w:rPr>
        <w:t>公开时间：2020年9月28日</w:t>
      </w:r>
    </w:p>
    <w:p>
      <w:pPr>
        <w:rPr>
          <w:rFonts w:ascii="仿宋_GB2312" w:hAnsi="仿宋_GB2312" w:eastAsia="仿宋_GB2312" w:cs="仿宋_GB2312"/>
          <w:sz w:val="30"/>
          <w:szCs w:val="30"/>
        </w:rPr>
      </w:pP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第一部分部门概况</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一、基本职能及主要工作...4</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二、机构设置...4</w:t>
      </w: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第二部分度部门决算情况说明</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一、收入支出决算总体情况说明...5</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二、收入决算情况说明...5-6</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三、支出决算情况说明...6</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四、财政拨款收入支出决算总体情况说明...6-7</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五、一般公共预算财政拨款支出决算情况说明...7-10</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六、一般公共预算财政拨款基本支出决算情况说明...10-11</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七、“三公”经费财政拨款支出决算情况说明...11-12</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八、政府性基金预算支出决算情况说明...12</w:t>
      </w:r>
    </w:p>
    <w:p>
      <w:pPr>
        <w:pStyle w:val="11"/>
        <w:adjustRightInd w:val="0"/>
        <w:snapToGrid w:val="0"/>
        <w:spacing w:line="440" w:lineRule="exact"/>
        <w:ind w:leftChars="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 国有资本经营预算支出决算情况说明...12</w:t>
      </w:r>
    </w:p>
    <w:p>
      <w:pPr>
        <w:pStyle w:val="11"/>
        <w:adjustRightInd w:val="0"/>
        <w:snapToGrid w:val="0"/>
        <w:spacing w:line="440" w:lineRule="exact"/>
        <w:ind w:leftChars="0"/>
        <w:jc w:val="left"/>
        <w:rPr>
          <w:rFonts w:ascii="仿宋_GB2312" w:hAnsi="仿宋_GB2312" w:eastAsia="仿宋_GB2312" w:cs="仿宋_GB2312"/>
          <w:sz w:val="30"/>
          <w:szCs w:val="30"/>
        </w:rPr>
      </w:pPr>
      <w:r>
        <w:rPr>
          <w:rStyle w:val="15"/>
          <w:rFonts w:hint="eastAsia" w:ascii="仿宋_GB2312" w:hAnsi="仿宋_GB2312" w:eastAsia="仿宋_GB2312" w:cs="仿宋_GB2312"/>
          <w:color w:val="000000" w:themeColor="text1"/>
          <w:sz w:val="30"/>
          <w:szCs w:val="30"/>
          <w:u w:val="none"/>
        </w:rPr>
        <w:t>十、</w:t>
      </w:r>
      <w:r>
        <w:rPr>
          <w:rFonts w:hint="eastAsia" w:ascii="仿宋_GB2312" w:hAnsi="仿宋_GB2312" w:eastAsia="仿宋_GB2312" w:cs="仿宋_GB2312"/>
          <w:sz w:val="30"/>
          <w:szCs w:val="30"/>
        </w:rPr>
        <w:t>其他重要事项的情况说明...12-21</w:t>
      </w: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第三部分名词解释...22-25</w:t>
      </w: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第四部分附件</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附件1...26-29</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附件2...30-33</w:t>
      </w: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第五部分附表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二、收入决算表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五、财政拨款支出决算明细表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七、一般公共预算财政拨款支出决算明细表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八、一般公共预算财政拨款基本支出决算表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九、一般公共预算财政拨款项目支出决算表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十、一般公共预算财政拨款“三公”经费支出决算表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十一、政府性基金预算财政拨款收入支出决算表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十二、政府性基金预算财政拨款“三公”经费支出决算表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十三、国有资本经营预算支出决算表</w:t>
      </w:r>
    </w:p>
    <w:p>
      <w:pPr>
        <w:widowControl/>
        <w:adjustRightInd w:val="0"/>
        <w:snapToGrid w:val="0"/>
        <w:spacing w:line="440" w:lineRule="exact"/>
        <w:ind w:firstLine="1320" w:firstLineChars="550"/>
        <w:jc w:val="left"/>
        <w:rPr>
          <w:rFonts w:ascii="仿宋_GB2312" w:hAnsi="仿宋_GB2312" w:eastAsia="仿宋_GB2312" w:cs="仿宋_GB2312"/>
          <w:color w:val="FF0000"/>
          <w:sz w:val="24"/>
        </w:rPr>
      </w:pPr>
    </w:p>
    <w:p>
      <w:pPr>
        <w:widowControl/>
        <w:spacing w:line="440" w:lineRule="exact"/>
        <w:jc w:val="left"/>
        <w:rPr>
          <w:rFonts w:ascii="仿宋_GB2312" w:hAnsi="仿宋_GB2312" w:eastAsia="仿宋_GB2312" w:cs="仿宋_GB2312"/>
          <w:bCs/>
          <w:kern w:val="44"/>
          <w:sz w:val="24"/>
        </w:rPr>
      </w:pPr>
      <w:bookmarkStart w:id="12" w:name="_Toc15377196"/>
      <w:bookmarkStart w:id="13" w:name="_Toc15396599"/>
      <w:r>
        <w:rPr>
          <w:rFonts w:hint="eastAsia" w:ascii="仿宋_GB2312" w:hAnsi="仿宋_GB2312" w:eastAsia="仿宋_GB2312" w:cs="仿宋_GB2312"/>
          <w:b/>
          <w:sz w:val="24"/>
        </w:rPr>
        <w:br w:type="page"/>
      </w:r>
    </w:p>
    <w:p>
      <w:pPr>
        <w:pStyle w:val="2"/>
        <w:jc w:val="center"/>
        <w:rPr>
          <w:rStyle w:val="24"/>
          <w:rFonts w:ascii="黑体" w:hAnsi="黑体" w:eastAsia="黑体" w:cs="黑体"/>
          <w:b/>
          <w:bCs w:val="0"/>
        </w:rPr>
      </w:pPr>
      <w:r>
        <w:rPr>
          <w:rFonts w:hint="eastAsia" w:ascii="黑体" w:hAnsi="黑体" w:eastAsia="黑体" w:cs="黑体"/>
          <w:b w:val="0"/>
        </w:rPr>
        <w:t xml:space="preserve">第一部分 </w:t>
      </w:r>
      <w:r>
        <w:rPr>
          <w:rStyle w:val="24"/>
          <w:rFonts w:hint="eastAsia" w:ascii="黑体" w:hAnsi="黑体" w:eastAsia="黑体" w:cs="黑体"/>
          <w:b w:val="0"/>
          <w:bCs w:val="0"/>
        </w:rPr>
        <w:t>部门概况</w:t>
      </w:r>
      <w:bookmarkEnd w:id="12"/>
      <w:bookmarkEnd w:id="13"/>
    </w:p>
    <w:p>
      <w:pPr>
        <w:pStyle w:val="3"/>
        <w:rPr>
          <w:rFonts w:ascii="黑体" w:hAnsi="黑体" w:eastAsia="黑体" w:cs="黑体"/>
          <w:b w:val="0"/>
          <w:bCs w:val="0"/>
          <w:color w:val="000000"/>
        </w:rPr>
      </w:pPr>
      <w:bookmarkStart w:id="14" w:name="_Toc15377197"/>
      <w:bookmarkStart w:id="15" w:name="_Toc15396600"/>
    </w:p>
    <w:p>
      <w:pPr>
        <w:pStyle w:val="3"/>
        <w:rPr>
          <w:rStyle w:val="25"/>
          <w:rFonts w:ascii="黑体" w:hAnsi="黑体" w:eastAsia="黑体" w:cs="黑体"/>
          <w:b w:val="0"/>
          <w:bCs w:val="0"/>
        </w:rPr>
      </w:pPr>
      <w:r>
        <w:rPr>
          <w:rFonts w:hint="eastAsia" w:ascii="黑体" w:hAnsi="黑体" w:eastAsia="黑体" w:cs="黑体"/>
          <w:b w:val="0"/>
          <w:color w:val="000000"/>
        </w:rPr>
        <w:t>一、基</w:t>
      </w:r>
      <w:r>
        <w:rPr>
          <w:rStyle w:val="25"/>
          <w:rFonts w:hint="eastAsia" w:ascii="黑体" w:hAnsi="黑体" w:eastAsia="黑体" w:cs="黑体"/>
          <w:b w:val="0"/>
          <w:bCs w:val="0"/>
        </w:rPr>
        <w:t>本职能及主要工作</w:t>
      </w:r>
      <w:bookmarkEnd w:id="14"/>
      <w:bookmarkEnd w:id="15"/>
    </w:p>
    <w:p>
      <w:pPr>
        <w:pStyle w:val="30"/>
      </w:pPr>
      <w:bookmarkStart w:id="16" w:name="_Toc15378445"/>
      <w:bookmarkStart w:id="17" w:name="_Toc15377198"/>
      <w:r>
        <w:rPr>
          <w:rFonts w:hint="eastAsia" w:ascii="楷体" w:hAnsi="楷体" w:eastAsia="楷体" w:cs="楷体"/>
          <w:bCs/>
          <w:color w:val="000000"/>
        </w:rPr>
        <w:t>（一）</w:t>
      </w:r>
      <w:bookmarkEnd w:id="16"/>
      <w:bookmarkEnd w:id="17"/>
      <w:r>
        <w:rPr>
          <w:rFonts w:hint="eastAsia" w:ascii="楷体" w:hAnsi="楷体" w:eastAsia="楷体" w:cs="楷体"/>
        </w:rPr>
        <w:t>财政局主要职能职责：</w:t>
      </w:r>
      <w:r>
        <w:rPr>
          <w:rFonts w:hint="eastAsia"/>
        </w:rPr>
        <w:t>负责辖区内财政管理，实施财政预算、决算，负责金融、国有资产监督管理；负责政府采购、政府债务、财政投资评审、审计监督等；承担党工委、管委会交办的其他工作任务。</w:t>
      </w:r>
    </w:p>
    <w:p>
      <w:pPr>
        <w:spacing w:line="580" w:lineRule="exact"/>
        <w:ind w:firstLine="480" w:firstLineChars="150"/>
        <w:rPr>
          <w:rFonts w:ascii="仿宋_GB2312" w:hAnsi="仿宋_GB2312" w:eastAsia="仿宋_GB2312" w:cs="仿宋_GB2312"/>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hint="eastAsia" w:ascii="楷体" w:hAnsi="楷体" w:eastAsia="楷体" w:cs="楷体"/>
          <w:bCs/>
          <w:color w:val="000000"/>
          <w:sz w:val="32"/>
          <w:szCs w:val="32"/>
        </w:rPr>
        <w:t>2019年重点工作完成情况</w:t>
      </w:r>
      <w:bookmarkEnd w:id="18"/>
      <w:bookmarkEnd w:id="19"/>
      <w:r>
        <w:rPr>
          <w:rFonts w:hint="eastAsia" w:ascii="楷体" w:hAnsi="楷体" w:eastAsia="楷体" w:cs="楷体"/>
          <w:b/>
          <w:color w:val="000000"/>
          <w:sz w:val="32"/>
          <w:szCs w:val="32"/>
        </w:rPr>
        <w:t>:</w:t>
      </w: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color w:val="000000"/>
          <w:kern w:val="0"/>
          <w:sz w:val="32"/>
          <w:szCs w:val="32"/>
        </w:rPr>
        <w:t>强化收入征管，全面完成财政预期收入任务。2、合理调配资金，做好资金保障。3、推进财政精细化管理，提升财政资金使用效益。4、</w:t>
      </w:r>
      <w:r>
        <w:rPr>
          <w:rFonts w:hint="eastAsia" w:ascii="仿宋_GB2312" w:hAnsi="仿宋_GB2312" w:eastAsia="仿宋_GB2312" w:cs="仿宋_GB2312"/>
          <w:color w:val="000000"/>
          <w:sz w:val="32"/>
          <w:szCs w:val="32"/>
        </w:rPr>
        <w:t>强化财政投资评审。5、完善机制，加强审计监督。6、</w:t>
      </w:r>
      <w:r>
        <w:rPr>
          <w:rFonts w:hint="eastAsia" w:ascii="仿宋_GB2312" w:hAnsi="仿宋_GB2312" w:eastAsia="仿宋_GB2312" w:cs="仿宋_GB2312"/>
          <w:color w:val="000000"/>
          <w:sz w:val="32"/>
          <w:szCs w:val="32"/>
          <w:shd w:val="clear" w:color="auto" w:fill="FFFFFF"/>
        </w:rPr>
        <w:t>开展学习教育，加强财政队伍建设</w:t>
      </w:r>
    </w:p>
    <w:p>
      <w:pPr>
        <w:pStyle w:val="3"/>
        <w:numPr>
          <w:ilvl w:val="0"/>
          <w:numId w:val="3"/>
        </w:numPr>
        <w:rPr>
          <w:rStyle w:val="25"/>
          <w:rFonts w:ascii="黑体" w:hAnsi="黑体" w:eastAsia="黑体"/>
          <w:b w:val="0"/>
          <w:bCs w:val="0"/>
        </w:rPr>
      </w:pPr>
      <w:bookmarkStart w:id="20" w:name="_Toc15377200"/>
      <w:bookmarkStart w:id="21" w:name="_Toc15396601"/>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高新区财政局是管委会职能机构，为全额经费拨款单位。</w:t>
      </w:r>
    </w:p>
    <w:p>
      <w:pP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财政局无下属二级单位。</w:t>
      </w:r>
    </w:p>
    <w:p>
      <w:pPr>
        <w:ind w:firstLine="320" w:firstLineChars="100"/>
        <w:rPr>
          <w:rFonts w:ascii="仿宋_GB2312" w:hAnsi="仿宋_GB2312" w:eastAsia="仿宋_GB2312" w:cs="仿宋_GB2312"/>
          <w:color w:val="000000"/>
          <w:sz w:val="32"/>
          <w:szCs w:val="32"/>
        </w:rPr>
      </w:pPr>
    </w:p>
    <w:p>
      <w:pPr>
        <w:ind w:firstLine="800" w:firstLineChars="250"/>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4"/>
          <w:rFonts w:hint="eastAsia" w:ascii="黑体" w:hAnsi="黑体" w:eastAsia="黑体"/>
          <w:b w:val="0"/>
          <w:bCs w:val="0"/>
        </w:rPr>
        <w:t>2019年度部门决算情况说明</w:t>
      </w:r>
      <w:bookmarkEnd w:id="22"/>
      <w:bookmarkEnd w:id="23"/>
    </w:p>
    <w:p/>
    <w:p>
      <w:pPr>
        <w:pStyle w:val="23"/>
        <w:numPr>
          <w:ilvl w:val="0"/>
          <w:numId w:val="4"/>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2019年度收、支总计1379.80万元。与2018年相比，收、支总计各增加126.98万元，增长10.14%。主要变动原因是:机构改革以后,国库支付中心代理记帐业务划入到财政局，财政局日常费用增加。</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drawing>
          <wp:anchor distT="0" distB="0" distL="114300" distR="114300" simplePos="0" relativeHeight="251664384" behindDoc="1" locked="0" layoutInCell="1" allowOverlap="1">
            <wp:simplePos x="0" y="0"/>
            <wp:positionH relativeFrom="column">
              <wp:posOffset>64135</wp:posOffset>
            </wp:positionH>
            <wp:positionV relativeFrom="paragraph">
              <wp:posOffset>821690</wp:posOffset>
            </wp:positionV>
            <wp:extent cx="5268595" cy="1913255"/>
            <wp:effectExtent l="19050" t="0" r="27305" b="0"/>
            <wp:wrapTight wrapText="bothSides">
              <wp:wrapPolygon>
                <wp:start x="-78" y="0"/>
                <wp:lineTo x="-78" y="21507"/>
                <wp:lineTo x="21712" y="21507"/>
                <wp:lineTo x="21712" y="0"/>
                <wp:lineTo x="-78" y="0"/>
              </wp:wrapPolygon>
            </wp:wrapTight>
            <wp:docPr id="119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color w:val="000000" w:themeColor="text1"/>
          <w:sz w:val="32"/>
          <w:szCs w:val="32"/>
        </w:rPr>
        <w:t>（图1：收、支决算总计变动情况图）（柱状图）</w:t>
      </w:r>
    </w:p>
    <w:p>
      <w:pPr>
        <w:spacing w:line="600" w:lineRule="exact"/>
        <w:ind w:firstLine="640" w:firstLineChars="200"/>
        <w:rPr>
          <w:rFonts w:ascii="仿宋_GB2312" w:eastAsia="仿宋_GB2312"/>
          <w:color w:val="000000"/>
          <w:sz w:val="32"/>
          <w:szCs w:val="32"/>
        </w:rPr>
      </w:pPr>
    </w:p>
    <w:p>
      <w:pPr>
        <w:pStyle w:val="23"/>
        <w:numPr>
          <w:ilvl w:val="0"/>
          <w:numId w:val="4"/>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2019年本年收入合计689.90万元，其中：一般公共预算财政拨款收入528.90万元，占76.66%；政府性基金预算财政拨款收入1万元，占0.14%；</w:t>
      </w:r>
      <w:r>
        <w:rPr>
          <w:rFonts w:hint="eastAsia" w:ascii="仿宋_GB2312" w:hAnsi="仿宋_GB2312" w:eastAsia="仿宋_GB2312" w:cs="仿宋_GB2312"/>
          <w:color w:val="000000" w:themeColor="text1"/>
          <w:sz w:val="32"/>
          <w:szCs w:val="32"/>
        </w:rPr>
        <w:t>年初结转和结余160.0万元，占23.20%</w:t>
      </w:r>
      <w:r>
        <w:rPr>
          <w:rFonts w:hint="eastAsia" w:ascii="仿宋_GB2312" w:hAnsi="仿宋_GB2312" w:eastAsia="仿宋_GB2312" w:cs="仿宋_GB2312"/>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_GB2312" w:hAnsi="仿宋_GB2312" w:eastAsia="仿宋_GB2312" w:cs="仿宋_GB2312"/>
          <w:color w:val="000000"/>
          <w:sz w:val="32"/>
          <w:szCs w:val="32"/>
        </w:rPr>
        <w:t>（图2：收入决算结构图）（饼状图）</w:t>
      </w:r>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59264" behindDoc="1" locked="0" layoutInCell="1" allowOverlap="1">
            <wp:simplePos x="0" y="0"/>
            <wp:positionH relativeFrom="column">
              <wp:posOffset>351155</wp:posOffset>
            </wp:positionH>
            <wp:positionV relativeFrom="paragraph">
              <wp:posOffset>102870</wp:posOffset>
            </wp:positionV>
            <wp:extent cx="3610610" cy="1743075"/>
            <wp:effectExtent l="19050" t="0" r="27940" b="0"/>
            <wp:wrapTight wrapText="bothSides">
              <wp:wrapPolygon>
                <wp:start x="-114" y="0"/>
                <wp:lineTo x="-114" y="21482"/>
                <wp:lineTo x="21767" y="21482"/>
                <wp:lineTo x="21767" y="0"/>
                <wp:lineTo x="-114" y="0"/>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rPr>
          <w:rFonts w:ascii="仿宋_GB2312" w:eastAsia="仿宋_GB2312"/>
          <w:color w:val="FF0000"/>
          <w:sz w:val="32"/>
          <w:szCs w:val="32"/>
        </w:rPr>
      </w:pPr>
    </w:p>
    <w:p>
      <w:pPr>
        <w:pStyle w:val="23"/>
        <w:numPr>
          <w:ilvl w:val="0"/>
          <w:numId w:val="4"/>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2019年本年支出合计689.90万元，其中：基本支出114.36万元，占16.58%；项目支出421.44万元，占61.08%；年末结转和结余154.12万元，占22.34%</w:t>
      </w:r>
    </w:p>
    <w:p>
      <w:pPr>
        <w:spacing w:line="600" w:lineRule="exact"/>
        <w:ind w:firstLine="640" w:firstLineChars="200"/>
        <w:outlineLvl w:val="1"/>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（图3：支出决算结构图）（饼状图）</w:t>
      </w:r>
    </w:p>
    <w:p>
      <w:pPr>
        <w:spacing w:line="600" w:lineRule="exact"/>
        <w:ind w:firstLine="420" w:firstLineChars="200"/>
        <w:outlineLvl w:val="1"/>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-241935</wp:posOffset>
            </wp:positionH>
            <wp:positionV relativeFrom="paragraph">
              <wp:posOffset>133350</wp:posOffset>
            </wp:positionV>
            <wp:extent cx="5273040" cy="2224405"/>
            <wp:effectExtent l="19050" t="0" r="22860" b="4445"/>
            <wp:wrapSquare wrapText="bothSides"/>
            <wp:docPr id="118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2019年财政拨款收、支总计1052.81万元。与2018年相比，财政拨款收、支总计各增加137.00万元，增长14.96%。主要变动原因是：机构改革以后,国库支付中心代理记帐业务划入到财政局，财政局日常费用增加。</w:t>
      </w:r>
    </w:p>
    <w:p>
      <w:pPr>
        <w:spacing w:line="600" w:lineRule="exact"/>
        <w:ind w:firstLine="320" w:firstLineChars="100"/>
        <w:rPr>
          <w:rFonts w:ascii="仿宋" w:hAnsi="仿宋" w:eastAsia="仿宋"/>
          <w:color w:val="000000" w:themeColor="text1"/>
          <w:sz w:val="32"/>
          <w:szCs w:val="32"/>
        </w:rPr>
      </w:pPr>
      <w:r>
        <w:rPr>
          <w:rFonts w:hint="eastAsia" w:ascii="仿宋_GB2312" w:hAnsi="仿宋_GB2312" w:eastAsia="仿宋_GB2312" w:cs="仿宋_GB2312"/>
          <w:color w:val="000000" w:themeColor="text1"/>
          <w:sz w:val="32"/>
          <w:szCs w:val="32"/>
        </w:rPr>
        <w:t>（图4：财政拨款收、支决算总计变动情况）（柱状图）</w:t>
      </w:r>
    </w:p>
    <w:p>
      <w:pPr>
        <w:spacing w:line="600" w:lineRule="exact"/>
        <w:ind w:firstLine="643" w:firstLineChars="200"/>
        <w:rPr>
          <w:rFonts w:ascii="仿宋" w:hAnsi="仿宋" w:eastAsia="仿宋"/>
          <w:b/>
          <w:color w:val="00B050"/>
          <w:sz w:val="32"/>
          <w:szCs w:val="32"/>
        </w:rPr>
      </w:pPr>
    </w:p>
    <w:p>
      <w:pPr>
        <w:spacing w:line="600" w:lineRule="exact"/>
        <w:ind w:firstLine="643" w:firstLineChars="200"/>
        <w:rPr>
          <w:rFonts w:ascii="仿宋" w:hAnsi="仿宋" w:eastAsia="仿宋"/>
          <w:b/>
          <w:color w:val="00B050"/>
          <w:sz w:val="32"/>
          <w:szCs w:val="32"/>
        </w:rPr>
      </w:pPr>
    </w:p>
    <w:p>
      <w:pPr>
        <w:spacing w:line="600" w:lineRule="exact"/>
        <w:ind w:firstLine="420" w:firstLineChars="200"/>
        <w:rPr>
          <w:rFonts w:ascii="仿宋" w:hAnsi="仿宋" w:eastAsia="仿宋"/>
          <w:b/>
          <w:color w:val="00B050"/>
          <w:sz w:val="32"/>
          <w:szCs w:val="32"/>
        </w:rPr>
      </w:pPr>
      <w:r>
        <w:drawing>
          <wp:anchor distT="0" distB="0" distL="114300" distR="114300" simplePos="0" relativeHeight="251661312" behindDoc="0" locked="0" layoutInCell="1" allowOverlap="1">
            <wp:simplePos x="0" y="0"/>
            <wp:positionH relativeFrom="column">
              <wp:posOffset>-219710</wp:posOffset>
            </wp:positionH>
            <wp:positionV relativeFrom="paragraph">
              <wp:posOffset>5715</wp:posOffset>
            </wp:positionV>
            <wp:extent cx="5268595" cy="1913890"/>
            <wp:effectExtent l="19050" t="0" r="27305" b="0"/>
            <wp:wrapSquare wrapText="bothSides"/>
            <wp:docPr id="118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楷体" w:hAnsi="楷体" w:eastAsia="楷体" w:cs="楷体"/>
          <w:bCs/>
          <w:color w:val="000000"/>
          <w:sz w:val="32"/>
          <w:szCs w:val="32"/>
        </w:rPr>
      </w:pPr>
      <w:bookmarkStart w:id="34" w:name="_Toc15377210"/>
      <w:r>
        <w:rPr>
          <w:rFonts w:hint="eastAsia" w:ascii="楷体" w:hAnsi="楷体" w:eastAsia="楷体" w:cs="楷体"/>
          <w:bCs/>
          <w:color w:val="000000"/>
          <w:sz w:val="32"/>
          <w:szCs w:val="32"/>
        </w:rPr>
        <w:t>（一）一般公共预算财政拨款支出决算总体情况</w:t>
      </w:r>
      <w:bookmarkEnd w:id="34"/>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支出522.91万元，占本年支出合计的76.67%。与2018年相比，一般公共预算财政拨款增加72.87万元，增长15.98%。主要变动原因是：机构改革以后,国库支付中心代理记帐业务划入到财政局，财政局日常费用增加。</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（图5：一般公共预算财政拨款支出决算变动情况）（柱状图）</w:t>
      </w:r>
    </w:p>
    <w:p>
      <w:pPr>
        <w:spacing w:line="60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drawing>
          <wp:anchor distT="0" distB="0" distL="114300" distR="114300" simplePos="0" relativeHeight="251663360" behindDoc="1" locked="0" layoutInCell="1" allowOverlap="1">
            <wp:simplePos x="0" y="0"/>
            <wp:positionH relativeFrom="column">
              <wp:posOffset>-106045</wp:posOffset>
            </wp:positionH>
            <wp:positionV relativeFrom="paragraph">
              <wp:posOffset>102235</wp:posOffset>
            </wp:positionV>
            <wp:extent cx="5271770" cy="2016125"/>
            <wp:effectExtent l="0" t="0" r="5080" b="3175"/>
            <wp:wrapTight wrapText="bothSides">
              <wp:wrapPolygon>
                <wp:start x="0" y="0"/>
                <wp:lineTo x="0" y="21430"/>
                <wp:lineTo x="21543" y="21430"/>
                <wp:lineTo x="21543" y="0"/>
                <wp:lineTo x="0" y="0"/>
              </wp:wrapPolygon>
            </wp:wrapTight>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10"/>
                    <a:stretch>
                      <a:fillRect/>
                    </a:stretch>
                  </pic:blipFill>
                  <pic:spPr>
                    <a:xfrm>
                      <a:off x="0" y="0"/>
                      <a:ext cx="5271770" cy="2016125"/>
                    </a:xfrm>
                    <a:prstGeom prst="rect">
                      <a:avLst/>
                    </a:prstGeom>
                  </pic:spPr>
                </pic:pic>
              </a:graphicData>
            </a:graphic>
          </wp:anchor>
        </w:drawing>
      </w:r>
      <w:bookmarkStart w:id="35" w:name="_Toc15377211"/>
      <w:r>
        <w:rPr>
          <w:rFonts w:hint="eastAsia" w:ascii="楷体" w:hAnsi="楷体" w:eastAsia="楷体" w:cs="楷体"/>
          <w:b/>
          <w:color w:val="000000"/>
          <w:sz w:val="32"/>
          <w:szCs w:val="32"/>
        </w:rPr>
        <w:t>（二）一般公共预算财政拨款支出决算结构情况</w:t>
      </w:r>
      <w:bookmarkEnd w:id="35"/>
    </w:p>
    <w:p>
      <w:pPr>
        <w:spacing w:line="600" w:lineRule="exact"/>
        <w:ind w:firstLine="640"/>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sz w:val="32"/>
          <w:szCs w:val="32"/>
        </w:rPr>
        <w:t>2019年一般公共预算财</w:t>
      </w:r>
      <w:r>
        <w:rPr>
          <w:rFonts w:hint="eastAsia" w:ascii="仿宋_GB2312" w:hAnsi="仿宋_GB2312" w:eastAsia="仿宋_GB2312" w:cs="仿宋_GB2312"/>
          <w:color w:val="000000" w:themeColor="text1"/>
          <w:sz w:val="32"/>
          <w:szCs w:val="32"/>
        </w:rPr>
        <w:t>政拨款支出522.91万元，主要用于以下方面:</w:t>
      </w:r>
      <w:r>
        <w:rPr>
          <w:rFonts w:hint="eastAsia" w:ascii="仿宋_GB2312" w:hAnsi="仿宋_GB2312" w:eastAsia="仿宋_GB2312" w:cs="仿宋_GB2312"/>
          <w:b/>
          <w:color w:val="000000" w:themeColor="text1"/>
          <w:sz w:val="32"/>
          <w:szCs w:val="32"/>
        </w:rPr>
        <w:t>一般公共服务（类）</w:t>
      </w:r>
      <w:r>
        <w:rPr>
          <w:rFonts w:hint="eastAsia" w:ascii="仿宋_GB2312" w:hAnsi="仿宋_GB2312" w:eastAsia="仿宋_GB2312" w:cs="仿宋_GB2312"/>
          <w:color w:val="000000" w:themeColor="text1"/>
          <w:sz w:val="32"/>
          <w:szCs w:val="32"/>
        </w:rPr>
        <w:t>支出437.56万元，占83.68%；</w:t>
      </w:r>
      <w:r>
        <w:rPr>
          <w:rFonts w:hint="eastAsia" w:ascii="仿宋_GB2312" w:hAnsi="仿宋_GB2312" w:eastAsia="仿宋_GB2312" w:cs="仿宋_GB2312"/>
          <w:b/>
          <w:color w:val="000000" w:themeColor="text1"/>
          <w:sz w:val="32"/>
          <w:szCs w:val="32"/>
        </w:rPr>
        <w:t>公共安全（类）</w:t>
      </w:r>
      <w:r>
        <w:rPr>
          <w:rFonts w:hint="eastAsia" w:ascii="仿宋_GB2312" w:hAnsi="仿宋_GB2312" w:eastAsia="仿宋_GB2312" w:cs="仿宋_GB2312"/>
          <w:bCs/>
          <w:color w:val="000000" w:themeColor="text1"/>
          <w:sz w:val="32"/>
          <w:szCs w:val="32"/>
        </w:rPr>
        <w:t>支出</w:t>
      </w:r>
      <w:r>
        <w:rPr>
          <w:rFonts w:hint="eastAsia" w:ascii="仿宋_GB2312" w:hAnsi="仿宋_GB2312" w:eastAsia="仿宋_GB2312" w:cs="仿宋_GB2312"/>
          <w:color w:val="000000" w:themeColor="text1"/>
          <w:sz w:val="32"/>
          <w:szCs w:val="32"/>
        </w:rPr>
        <w:t>43.13万元，占8.25%；</w:t>
      </w:r>
      <w:r>
        <w:rPr>
          <w:rFonts w:hint="eastAsia" w:ascii="仿宋_GB2312" w:hAnsi="仿宋_GB2312" w:eastAsia="仿宋_GB2312" w:cs="仿宋_GB2312"/>
          <w:b/>
          <w:bCs/>
          <w:color w:val="000000" w:themeColor="text1"/>
          <w:sz w:val="32"/>
          <w:szCs w:val="32"/>
        </w:rPr>
        <w:t>城乡社区（类）</w:t>
      </w:r>
      <w:r>
        <w:rPr>
          <w:rFonts w:hint="eastAsia" w:ascii="仿宋_GB2312" w:hAnsi="仿宋_GB2312" w:eastAsia="仿宋_GB2312" w:cs="仿宋_GB2312"/>
          <w:color w:val="000000" w:themeColor="text1"/>
          <w:sz w:val="32"/>
          <w:szCs w:val="32"/>
        </w:rPr>
        <w:t>支出5.93万元，占1.13%；</w:t>
      </w:r>
      <w:r>
        <w:rPr>
          <w:rFonts w:hint="eastAsia" w:ascii="仿宋_GB2312" w:hAnsi="仿宋_GB2312" w:eastAsia="仿宋_GB2312" w:cs="仿宋_GB2312"/>
          <w:b/>
          <w:bCs/>
          <w:color w:val="000000" w:themeColor="text1"/>
          <w:sz w:val="32"/>
          <w:szCs w:val="32"/>
        </w:rPr>
        <w:t>金融（类）</w:t>
      </w:r>
      <w:r>
        <w:rPr>
          <w:rFonts w:hint="eastAsia" w:ascii="仿宋_GB2312" w:hAnsi="仿宋_GB2312" w:eastAsia="仿宋_GB2312" w:cs="仿宋_GB2312"/>
          <w:color w:val="000000" w:themeColor="text1"/>
          <w:sz w:val="32"/>
          <w:szCs w:val="32"/>
        </w:rPr>
        <w:t>支出22.34万元，占4.27%；</w:t>
      </w:r>
      <w:r>
        <w:rPr>
          <w:rFonts w:hint="eastAsia" w:ascii="仿宋_GB2312" w:hAnsi="仿宋_GB2312" w:eastAsia="仿宋_GB2312" w:cs="仿宋_GB2312"/>
          <w:b/>
          <w:color w:val="000000" w:themeColor="text1"/>
          <w:sz w:val="32"/>
          <w:szCs w:val="32"/>
        </w:rPr>
        <w:t>灾害防治及应急管理（类）</w:t>
      </w:r>
      <w:r>
        <w:rPr>
          <w:rFonts w:hint="eastAsia" w:ascii="仿宋_GB2312" w:hAnsi="仿宋_GB2312" w:eastAsia="仿宋_GB2312" w:cs="仿宋_GB2312"/>
          <w:color w:val="000000" w:themeColor="text1"/>
          <w:sz w:val="32"/>
          <w:szCs w:val="32"/>
        </w:rPr>
        <w:t>支出13.95万元，占2.67%。</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176530</wp:posOffset>
            </wp:positionH>
            <wp:positionV relativeFrom="paragraph">
              <wp:posOffset>306070</wp:posOffset>
            </wp:positionV>
            <wp:extent cx="4770755" cy="4371975"/>
            <wp:effectExtent l="19050" t="0" r="10795" b="0"/>
            <wp:wrapSquare wrapText="bothSides"/>
            <wp:docPr id="1194"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2"/>
        <w:rPr>
          <w:rFonts w:ascii="楷体" w:hAnsi="楷体" w:eastAsia="楷体" w:cs="楷体"/>
          <w:bCs/>
          <w:color w:val="000000"/>
          <w:sz w:val="32"/>
          <w:szCs w:val="32"/>
        </w:rPr>
      </w:pPr>
      <w:bookmarkStart w:id="36" w:name="_Toc15377212"/>
      <w:r>
        <w:rPr>
          <w:rFonts w:hint="eastAsia" w:ascii="楷体" w:hAnsi="楷体" w:eastAsia="楷体" w:cs="楷体"/>
          <w:bCs/>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bCs/>
          <w:color w:val="FF0000"/>
          <w:sz w:val="32"/>
          <w:szCs w:val="32"/>
        </w:rPr>
      </w:pPr>
      <w:bookmarkStart w:id="37" w:name="_Toc15378460"/>
      <w:bookmarkStart w:id="38" w:name="_Toc15377213"/>
      <w:bookmarkStart w:id="39" w:name="_Toc15377444"/>
      <w:r>
        <w:rPr>
          <w:rFonts w:hint="eastAsia" w:ascii="仿宋_GB2312" w:hAnsi="仿宋_GB2312" w:eastAsia="仿宋_GB2312" w:cs="仿宋_GB2312"/>
          <w:bCs/>
          <w:color w:val="000000" w:themeColor="text1"/>
          <w:sz w:val="32"/>
          <w:szCs w:val="32"/>
        </w:rPr>
        <w:t>2019年一般公共预算支出决算数为522.91万元，</w:t>
      </w:r>
      <w:r>
        <w:rPr>
          <w:rStyle w:val="14"/>
          <w:rFonts w:hint="eastAsia" w:ascii="仿宋_GB2312" w:hAnsi="仿宋_GB2312" w:eastAsia="仿宋_GB2312" w:cs="仿宋_GB2312"/>
          <w:b w:val="0"/>
          <w:bCs/>
          <w:color w:val="000000" w:themeColor="text1"/>
          <w:sz w:val="32"/>
          <w:szCs w:val="32"/>
        </w:rPr>
        <w:t>完成</w:t>
      </w:r>
      <w:r>
        <w:rPr>
          <w:rStyle w:val="14"/>
          <w:rFonts w:hint="eastAsia" w:ascii="仿宋_GB2312" w:hAnsi="仿宋_GB2312" w:eastAsia="仿宋_GB2312" w:cs="仿宋_GB2312"/>
          <w:b w:val="0"/>
          <w:bCs/>
          <w:color w:val="000000"/>
          <w:sz w:val="32"/>
          <w:szCs w:val="32"/>
        </w:rPr>
        <w:t>预算100%。其中：</w:t>
      </w:r>
      <w:bookmarkEnd w:id="37"/>
      <w:bookmarkEnd w:id="38"/>
      <w:bookmarkEnd w:id="39"/>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一般公共服务支出（类）政府办公厅（室）及相关机构事务（款）行政运行（项）:</w:t>
      </w:r>
      <w:r>
        <w:rPr>
          <w:rStyle w:val="14"/>
          <w:rFonts w:hint="eastAsia" w:ascii="仿宋_GB2312" w:hAnsi="仿宋_GB2312" w:eastAsia="仿宋_GB2312" w:cs="仿宋_GB2312"/>
          <w:b w:val="0"/>
          <w:bCs/>
          <w:color w:val="000000"/>
          <w:sz w:val="32"/>
          <w:szCs w:val="32"/>
        </w:rPr>
        <w:t>支出决算为26.00万元，完成预算100%。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一般公共服务支出（类）政府办公厅（室）及相关机构事务（款）一般行政管理事务（项）:</w:t>
      </w:r>
      <w:r>
        <w:rPr>
          <w:rStyle w:val="14"/>
          <w:rFonts w:hint="eastAsia" w:ascii="仿宋_GB2312" w:hAnsi="仿宋_GB2312" w:eastAsia="仿宋_GB2312" w:cs="仿宋_GB2312"/>
          <w:b w:val="0"/>
          <w:bCs/>
          <w:color w:val="000000"/>
          <w:sz w:val="32"/>
          <w:szCs w:val="32"/>
        </w:rPr>
        <w:t>支出决算为74.41万元，完成预算100%。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一般公共服务支出（类）政府办公厅（室）及相关机构事务（款）其他政府办公厅（室）及相关机构事务支出（项）:</w:t>
      </w:r>
      <w:r>
        <w:rPr>
          <w:rStyle w:val="14"/>
          <w:rFonts w:hint="eastAsia" w:ascii="仿宋_GB2312" w:hAnsi="仿宋_GB2312" w:eastAsia="仿宋_GB2312" w:cs="仿宋_GB2312"/>
          <w:b w:val="0"/>
          <w:bCs/>
          <w:color w:val="000000"/>
          <w:sz w:val="32"/>
          <w:szCs w:val="32"/>
        </w:rPr>
        <w:t>支出决算为0.45万元，完成预算100%。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一般公共服务支出（类）财政事务（款）行政运行（项）:</w:t>
      </w:r>
      <w:r>
        <w:rPr>
          <w:rStyle w:val="14"/>
          <w:rFonts w:hint="eastAsia" w:ascii="仿宋_GB2312" w:hAnsi="仿宋_GB2312" w:eastAsia="仿宋_GB2312" w:cs="仿宋_GB2312"/>
          <w:b w:val="0"/>
          <w:bCs/>
          <w:color w:val="000000"/>
          <w:sz w:val="32"/>
          <w:szCs w:val="32"/>
        </w:rPr>
        <w:t>支出决算为88.37万元，完成预算100%。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一般公共服务支出（类）财政事务（款）一般行政管理事务（项）:</w:t>
      </w:r>
      <w:r>
        <w:rPr>
          <w:rStyle w:val="14"/>
          <w:rFonts w:hint="eastAsia" w:ascii="仿宋_GB2312" w:hAnsi="仿宋_GB2312" w:eastAsia="仿宋_GB2312" w:cs="仿宋_GB2312"/>
          <w:b w:val="0"/>
          <w:bCs/>
          <w:color w:val="000000"/>
          <w:sz w:val="32"/>
          <w:szCs w:val="32"/>
        </w:rPr>
        <w:t>支出决算为44.08万元，完成预算100%。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一般公共服务支出（类）财政事务（款）信息化建设（项）:</w:t>
      </w:r>
      <w:r>
        <w:rPr>
          <w:rStyle w:val="14"/>
          <w:rFonts w:hint="eastAsia" w:ascii="仿宋_GB2312" w:hAnsi="仿宋_GB2312" w:eastAsia="仿宋_GB2312" w:cs="仿宋_GB2312"/>
          <w:b w:val="0"/>
          <w:bCs/>
          <w:color w:val="000000"/>
          <w:sz w:val="32"/>
          <w:szCs w:val="32"/>
        </w:rPr>
        <w:t>支出决算为14.96万元，完成预算100%。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一般公共服务支出（类）财政事务（款）财政委托业务支出（项）:</w:t>
      </w:r>
      <w:r>
        <w:rPr>
          <w:rStyle w:val="14"/>
          <w:rFonts w:hint="eastAsia" w:ascii="仿宋_GB2312" w:hAnsi="仿宋_GB2312" w:eastAsia="仿宋_GB2312" w:cs="仿宋_GB2312"/>
          <w:b w:val="0"/>
          <w:bCs/>
          <w:color w:val="000000"/>
          <w:sz w:val="32"/>
          <w:szCs w:val="32"/>
        </w:rPr>
        <w:t>支出决算为1.2万元，完成预算100%。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一般公共服务支出（类）财政事务（款）其他财政事务支出（项）:</w:t>
      </w:r>
      <w:r>
        <w:rPr>
          <w:rStyle w:val="14"/>
          <w:rFonts w:hint="eastAsia" w:ascii="仿宋_GB2312" w:hAnsi="仿宋_GB2312" w:eastAsia="仿宋_GB2312" w:cs="仿宋_GB2312"/>
          <w:b w:val="0"/>
          <w:bCs/>
          <w:color w:val="000000"/>
          <w:sz w:val="32"/>
          <w:szCs w:val="32"/>
        </w:rPr>
        <w:t>支出决算为8.00万元，完成预算100%。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一般公共服务支出（类）审计事务（款）一般行政管理事务（项）:</w:t>
      </w:r>
      <w:r>
        <w:rPr>
          <w:rStyle w:val="14"/>
          <w:rFonts w:hint="eastAsia" w:ascii="仿宋_GB2312" w:hAnsi="仿宋_GB2312" w:eastAsia="仿宋_GB2312" w:cs="仿宋_GB2312"/>
          <w:b w:val="0"/>
          <w:bCs/>
          <w:color w:val="000000"/>
          <w:sz w:val="32"/>
          <w:szCs w:val="32"/>
        </w:rPr>
        <w:t>支出决算为3.2万元，完成预算100%。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一般公共服务支出（类）审计事务（款）审计业务（项）:</w:t>
      </w:r>
      <w:r>
        <w:rPr>
          <w:rStyle w:val="14"/>
          <w:rFonts w:hint="eastAsia" w:ascii="仿宋_GB2312" w:hAnsi="仿宋_GB2312" w:eastAsia="仿宋_GB2312" w:cs="仿宋_GB2312"/>
          <w:b w:val="0"/>
          <w:bCs/>
          <w:color w:val="000000"/>
          <w:sz w:val="32"/>
          <w:szCs w:val="32"/>
        </w:rPr>
        <w:t>支出决算为2.54万元，完成预算100%。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一般公共服务支出（类）市场监督管理事务（款）一般行政管理事务（项）:</w:t>
      </w:r>
      <w:r>
        <w:rPr>
          <w:rStyle w:val="14"/>
          <w:rFonts w:hint="eastAsia" w:ascii="仿宋_GB2312" w:hAnsi="仿宋_GB2312" w:eastAsia="仿宋_GB2312" w:cs="仿宋_GB2312"/>
          <w:b w:val="0"/>
          <w:bCs/>
          <w:color w:val="000000"/>
          <w:sz w:val="32"/>
          <w:szCs w:val="32"/>
        </w:rPr>
        <w:t>支出决算为174.35万元，完成预算100%。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公共安全支出（类）公安（款）一般行政管理事务（项）:</w:t>
      </w:r>
      <w:r>
        <w:rPr>
          <w:rStyle w:val="14"/>
          <w:rFonts w:hint="eastAsia" w:ascii="仿宋_GB2312" w:hAnsi="仿宋_GB2312" w:eastAsia="仿宋_GB2312" w:cs="仿宋_GB2312"/>
          <w:b w:val="0"/>
          <w:bCs/>
          <w:color w:val="000000"/>
          <w:sz w:val="32"/>
          <w:szCs w:val="32"/>
        </w:rPr>
        <w:t>支出决算为43.13万元，完成预算100%。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城乡社区支出（类）城乡社区管理事务（款）一般行政管理事务（项）:</w:t>
      </w:r>
      <w:r>
        <w:rPr>
          <w:rStyle w:val="14"/>
          <w:rFonts w:hint="eastAsia" w:ascii="仿宋_GB2312" w:hAnsi="仿宋_GB2312" w:eastAsia="仿宋_GB2312" w:cs="仿宋_GB2312"/>
          <w:b w:val="0"/>
          <w:bCs/>
          <w:color w:val="000000"/>
          <w:sz w:val="32"/>
          <w:szCs w:val="32"/>
        </w:rPr>
        <w:t>支出决算为5.93万元，完成预算100%。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金融支出（类）金融发展支出（款）其他金融发展支出（项）:</w:t>
      </w:r>
      <w:r>
        <w:rPr>
          <w:rStyle w:val="14"/>
          <w:rFonts w:hint="eastAsia" w:ascii="仿宋_GB2312" w:hAnsi="仿宋_GB2312" w:eastAsia="仿宋_GB2312" w:cs="仿宋_GB2312"/>
          <w:b w:val="0"/>
          <w:bCs/>
          <w:color w:val="000000"/>
          <w:sz w:val="32"/>
          <w:szCs w:val="32"/>
        </w:rPr>
        <w:t>支出决算为5万元，完成预算100%。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金融支出（类）其他金融支出（款）其他金融支出（项）:</w:t>
      </w:r>
      <w:r>
        <w:rPr>
          <w:rStyle w:val="14"/>
          <w:rFonts w:hint="eastAsia" w:ascii="仿宋_GB2312" w:hAnsi="仿宋_GB2312" w:eastAsia="仿宋_GB2312" w:cs="仿宋_GB2312"/>
          <w:b w:val="0"/>
          <w:bCs/>
          <w:color w:val="000000"/>
          <w:sz w:val="32"/>
          <w:szCs w:val="32"/>
        </w:rPr>
        <w:t>支出决算为17.34万元，完成预算100%。</w:t>
      </w:r>
    </w:p>
    <w:p>
      <w:pPr>
        <w:numPr>
          <w:ilvl w:val="0"/>
          <w:numId w:val="5"/>
        </w:numPr>
        <w:spacing w:line="600" w:lineRule="exact"/>
        <w:ind w:firstLine="643" w:firstLineChars="200"/>
        <w:rPr>
          <w:rFonts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灾害防治及应急管理支出（类）应急管理事务（款）一般行政管理事务（项）:</w:t>
      </w:r>
      <w:r>
        <w:rPr>
          <w:rStyle w:val="14"/>
          <w:rFonts w:hint="eastAsia" w:ascii="仿宋_GB2312" w:hAnsi="仿宋_GB2312" w:eastAsia="仿宋_GB2312" w:cs="仿宋_GB2312"/>
          <w:b w:val="0"/>
          <w:bCs/>
          <w:color w:val="000000"/>
          <w:sz w:val="32"/>
          <w:szCs w:val="32"/>
        </w:rPr>
        <w:t>支出决算为13.95万元，完成预算100%。</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基本支出114.36万元，其中：人员经费72.30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42.06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楷体" w:hAnsi="楷体" w:eastAsia="楷体" w:cs="楷体"/>
          <w:bCs/>
          <w:color w:val="000000"/>
          <w:sz w:val="32"/>
          <w:szCs w:val="32"/>
        </w:rPr>
      </w:pPr>
      <w:bookmarkStart w:id="44" w:name="_Toc15377216"/>
      <w:r>
        <w:rPr>
          <w:rFonts w:hint="eastAsia" w:ascii="楷体" w:hAnsi="楷体" w:eastAsia="楷体" w:cs="楷体"/>
          <w:bCs/>
          <w:color w:val="000000"/>
          <w:sz w:val="32"/>
          <w:szCs w:val="32"/>
        </w:rPr>
        <w:t>（一）“三公”经费财政拨款支出决算总体情况说明</w:t>
      </w:r>
      <w:bookmarkEnd w:id="44"/>
    </w:p>
    <w:p>
      <w:pPr>
        <w:spacing w:line="600" w:lineRule="exact"/>
        <w:ind w:firstLine="640"/>
        <w:rPr>
          <w:rFonts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2019年“三公”经费财政拨款支出决算为0.35万元，完成预算</w:t>
      </w:r>
      <w:r>
        <w:rPr>
          <w:rFonts w:hint="eastAsia" w:ascii="仿宋_GB2312" w:hAnsi="仿宋_GB2312" w:eastAsia="仿宋_GB2312" w:cs="仿宋_GB2312"/>
          <w:color w:val="000000" w:themeColor="text1"/>
          <w:sz w:val="32"/>
          <w:szCs w:val="32"/>
        </w:rPr>
        <w:t>19.4</w:t>
      </w:r>
      <w:r>
        <w:rPr>
          <w:rFonts w:hint="eastAsia" w:ascii="仿宋_GB2312" w:hAnsi="仿宋_GB2312" w:eastAsia="仿宋_GB2312" w:cs="仿宋_GB2312"/>
          <w:color w:val="000000"/>
          <w:sz w:val="32"/>
          <w:szCs w:val="32"/>
        </w:rPr>
        <w:t>%，决算数小于预算数的主要原因是严格控制三公经费，</w:t>
      </w:r>
      <w:r>
        <w:rPr>
          <w:rFonts w:hint="eastAsia" w:ascii="仿宋_GB2312" w:hAnsi="仿宋_GB2312" w:eastAsia="仿宋_GB2312" w:cs="仿宋_GB2312"/>
          <w:color w:val="000000"/>
          <w:sz w:val="32"/>
          <w:szCs w:val="32"/>
          <w:lang w:eastAsia="zh-CN"/>
        </w:rPr>
        <w:t>厉行节约</w:t>
      </w:r>
      <w:r>
        <w:rPr>
          <w:rFonts w:hint="eastAsia" w:ascii="仿宋_GB2312" w:hAnsi="仿宋_GB2312" w:eastAsia="仿宋_GB2312" w:cs="仿宋_GB2312"/>
          <w:color w:val="000000"/>
          <w:sz w:val="32"/>
          <w:szCs w:val="32"/>
        </w:rPr>
        <w:t>。</w:t>
      </w:r>
    </w:p>
    <w:p>
      <w:pPr>
        <w:spacing w:line="600" w:lineRule="exact"/>
        <w:ind w:firstLine="640"/>
        <w:outlineLvl w:val="2"/>
        <w:rPr>
          <w:rFonts w:ascii="楷体" w:hAnsi="楷体" w:eastAsia="楷体" w:cs="楷体"/>
          <w:bCs/>
          <w:color w:val="000000"/>
          <w:sz w:val="32"/>
          <w:szCs w:val="32"/>
        </w:rPr>
      </w:pPr>
      <w:bookmarkStart w:id="45" w:name="_Toc15377217"/>
      <w:r>
        <w:rPr>
          <w:rFonts w:hint="eastAsia" w:ascii="楷体" w:hAnsi="楷体" w:eastAsia="楷体" w:cs="楷体"/>
          <w:bCs/>
          <w:color w:val="000000"/>
          <w:sz w:val="32"/>
          <w:szCs w:val="32"/>
        </w:rPr>
        <w:t>（二）“三公”经费财政拨款支出决算具体情况说明</w:t>
      </w:r>
      <w:bookmarkEnd w:id="45"/>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2019年“三公”经费财政拨款支出决算中，因公出国（境）费支出决算0万元；公务用车购置及运行维护费支出决算0万元；公务接待费支出决算0.35万元，占100*%。具体情况如下：</w:t>
      </w:r>
    </w:p>
    <w:p>
      <w:pPr>
        <w:spacing w:line="600" w:lineRule="exact"/>
        <w:ind w:firstLine="640"/>
        <w:rPr>
          <w:rFonts w:ascii="仿宋" w:hAnsi="仿宋" w:eastAsia="仿宋"/>
          <w:color w:val="000000"/>
          <w:sz w:val="32"/>
          <w:szCs w:val="32"/>
        </w:rPr>
      </w:pPr>
      <w:r>
        <w:rPr>
          <w:rFonts w:hint="eastAsia" w:ascii="仿宋_GB2312" w:hAnsi="仿宋_GB2312" w:eastAsia="仿宋_GB2312" w:cs="仿宋_GB2312"/>
          <w:color w:val="000000"/>
          <w:sz w:val="32"/>
          <w:szCs w:val="32"/>
        </w:rPr>
        <w:t>（图7：“三公”经费财政拨款支出结构）（饼状图）</w:t>
      </w:r>
    </w:p>
    <w:p>
      <w:pPr>
        <w:spacing w:line="600" w:lineRule="exact"/>
        <w:ind w:firstLine="640"/>
        <w:rPr>
          <w:rFonts w:ascii="仿宋" w:hAnsi="仿宋" w:eastAsia="仿宋"/>
          <w:color w:val="000000"/>
          <w:sz w:val="32"/>
          <w:szCs w:val="32"/>
        </w:rPr>
      </w:pPr>
      <w:r>
        <w:drawing>
          <wp:anchor distT="0" distB="0" distL="114300" distR="114300" simplePos="0" relativeHeight="251665408" behindDoc="1" locked="0" layoutInCell="1" allowOverlap="1">
            <wp:simplePos x="0" y="0"/>
            <wp:positionH relativeFrom="column">
              <wp:posOffset>-43180</wp:posOffset>
            </wp:positionH>
            <wp:positionV relativeFrom="paragraph">
              <wp:posOffset>221615</wp:posOffset>
            </wp:positionV>
            <wp:extent cx="5273675" cy="2273935"/>
            <wp:effectExtent l="19050" t="0" r="22225" b="0"/>
            <wp:wrapTight wrapText="bothSides">
              <wp:wrapPolygon>
                <wp:start x="-78" y="0"/>
                <wp:lineTo x="-78" y="21534"/>
                <wp:lineTo x="21691" y="21534"/>
                <wp:lineTo x="21691" y="0"/>
                <wp:lineTo x="-78" y="0"/>
              </wp:wrapPolygon>
            </wp:wrapTight>
            <wp:docPr id="120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numPr>
          <w:ilvl w:val="0"/>
          <w:numId w:val="6"/>
        </w:numPr>
        <w:spacing w:line="600" w:lineRule="exact"/>
        <w:ind w:firstLine="640"/>
        <w:rPr>
          <w:rFonts w:hint="eastAsia" w:ascii="仿宋_GB2312" w:eastAsia="仿宋_GB2312"/>
          <w:color w:val="000000"/>
          <w:sz w:val="32"/>
          <w:szCs w:val="32"/>
        </w:rPr>
      </w:pPr>
      <w:r>
        <w:rPr>
          <w:rFonts w:hint="eastAsia" w:ascii="仿宋_GB2312" w:hAnsi="仿宋_GB2312" w:eastAsia="仿宋_GB2312" w:cs="仿宋_GB2312"/>
          <w:b/>
          <w:color w:val="000000"/>
          <w:sz w:val="32"/>
          <w:szCs w:val="32"/>
        </w:rPr>
        <w:t>因公出国（境）经费支出</w:t>
      </w:r>
      <w:r>
        <w:rPr>
          <w:rFonts w:hint="eastAsia" w:ascii="仿宋_GB2312" w:hAnsi="仿宋_GB2312" w:eastAsia="仿宋_GB2312" w:cs="仿宋_GB2312"/>
          <w:color w:val="000000"/>
          <w:sz w:val="32"/>
          <w:szCs w:val="32"/>
        </w:rPr>
        <w:t>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numPr>
          <w:ilvl w:val="0"/>
          <w:numId w:val="6"/>
        </w:num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hAnsi="仿宋_GB2312" w:eastAsia="仿宋_GB2312" w:cs="仿宋_GB2312"/>
          <w:color w:val="000000"/>
          <w:sz w:val="32"/>
          <w:szCs w:val="32"/>
          <w:lang w:eastAsia="zh-CN"/>
        </w:rPr>
        <w:t>。</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0.35万元，</w:t>
      </w:r>
      <w:r>
        <w:rPr>
          <w:rStyle w:val="14"/>
          <w:rFonts w:hint="eastAsia" w:ascii="仿宋_GB2312" w:hAnsi="仿宋_GB2312" w:eastAsia="仿宋_GB2312" w:cs="仿宋_GB2312"/>
          <w:b w:val="0"/>
          <w:bCs/>
          <w:color w:val="000000"/>
          <w:sz w:val="32"/>
          <w:szCs w:val="32"/>
        </w:rPr>
        <w:t>完成预算19.4%。</w:t>
      </w:r>
      <w:r>
        <w:rPr>
          <w:rFonts w:hint="eastAsia" w:ascii="仿宋_GB2312" w:hAnsi="仿宋_GB2312" w:eastAsia="仿宋_GB2312" w:cs="仿宋_GB2312"/>
          <w:color w:val="000000"/>
          <w:sz w:val="32"/>
          <w:szCs w:val="32"/>
        </w:rPr>
        <w:t>公务接待费支出决算比2018年增加0.04万元，增长12.90%。主要原因是：2019年高新区配合乐山市财政进行涉农保险保费补贴问题专项整治工作。其中：</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国内公务接待支出</w:t>
      </w:r>
      <w:r>
        <w:rPr>
          <w:rFonts w:hint="eastAsia" w:ascii="仿宋_GB2312" w:hAnsi="仿宋_GB2312" w:eastAsia="仿宋_GB2312" w:cs="仿宋_GB2312"/>
          <w:color w:val="000000"/>
          <w:sz w:val="32"/>
          <w:szCs w:val="32"/>
        </w:rPr>
        <w:t>0.35万元，主要用于误餐费。国内公务接待7批次，59人次（不包括陪同人员），共计支出0.35万元，具体内容包括：乐山市涉农保险保费补贴问题专项政治工作0.30万元；洽谈国投公司与管委会合作事宜0.05万元。</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color w:val="000000"/>
          <w:sz w:val="32"/>
          <w:szCs w:val="32"/>
        </w:rPr>
        <w:t>0万元。</w:t>
      </w:r>
      <w:bookmarkStart w:id="46" w:name="_Toc15377218"/>
      <w:bookmarkStart w:id="47" w:name="_Toc15396610"/>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2019年政府性基金预算拨款支出1万元。</w:t>
      </w:r>
    </w:p>
    <w:p>
      <w:pPr>
        <w:numPr>
          <w:ilvl w:val="0"/>
          <w:numId w:val="7"/>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2019年国有资本经营预算拨款支出0万元。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楷体" w:hAnsi="楷体" w:eastAsia="楷体" w:cs="楷体"/>
          <w:bCs/>
          <w:color w:val="000000"/>
          <w:sz w:val="32"/>
          <w:szCs w:val="32"/>
        </w:rPr>
      </w:pPr>
      <w:bookmarkStart w:id="52" w:name="_Toc15377222"/>
      <w:r>
        <w:rPr>
          <w:rFonts w:hint="eastAsia" w:ascii="楷体" w:hAnsi="楷体" w:eastAsia="楷体" w:cs="楷体"/>
          <w:bCs/>
          <w:color w:val="000000"/>
          <w:sz w:val="32"/>
          <w:szCs w:val="32"/>
        </w:rPr>
        <w:t>（一）机关运行经费支出情况</w:t>
      </w:r>
      <w:bookmarkEnd w:id="52"/>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2019年，财政局机关运行经费支出42.06万元，比2018年增加0.79万元，增长1.91%。</w:t>
      </w:r>
      <w:r>
        <w:rPr>
          <w:rFonts w:hint="eastAsia" w:ascii="仿宋_GB2312" w:hAnsi="仿宋_GB2312" w:eastAsia="仿宋_GB2312" w:cs="仿宋_GB2312"/>
          <w:color w:val="000000" w:themeColor="text1"/>
          <w:sz w:val="32"/>
          <w:szCs w:val="32"/>
        </w:rPr>
        <w:t>主要原因是</w:t>
      </w:r>
      <w:r>
        <w:rPr>
          <w:rFonts w:hint="eastAsia" w:ascii="仿宋_GB2312" w:hAnsi="仿宋_GB2312" w:eastAsia="仿宋_GB2312" w:cs="仿宋_GB2312"/>
          <w:color w:val="000000"/>
          <w:sz w:val="32"/>
          <w:szCs w:val="32"/>
        </w:rPr>
        <w:t>：机构改革以后,国库支付中心代理记帐业务划入到财政局，财政局日常费用增加。</w:t>
      </w:r>
    </w:p>
    <w:p>
      <w:pPr>
        <w:autoSpaceDE w:val="0"/>
        <w:autoSpaceDN w:val="0"/>
        <w:adjustRightInd w:val="0"/>
        <w:spacing w:line="600" w:lineRule="exact"/>
        <w:ind w:firstLine="640" w:firstLineChars="200"/>
        <w:jc w:val="left"/>
        <w:outlineLvl w:val="2"/>
        <w:rPr>
          <w:rFonts w:ascii="楷体" w:hAnsi="楷体" w:eastAsia="楷体" w:cs="楷体"/>
          <w:bCs/>
          <w:color w:val="000000"/>
          <w:sz w:val="32"/>
          <w:szCs w:val="32"/>
        </w:rPr>
      </w:pPr>
      <w:bookmarkStart w:id="53" w:name="_Toc15377223"/>
      <w:r>
        <w:rPr>
          <w:rFonts w:hint="eastAsia" w:ascii="楷体" w:hAnsi="楷体" w:eastAsia="楷体" w:cs="楷体"/>
          <w:bCs/>
          <w:color w:val="000000"/>
          <w:sz w:val="32"/>
          <w:szCs w:val="32"/>
        </w:rPr>
        <w:t>（二）政府采购支出情况</w:t>
      </w:r>
      <w:bookmarkEnd w:id="53"/>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2019年，财政局政府采购总额333.74万元，其中：政府采购货物支出1.1万元、政府采购工程支出0万元、政府采购服务332.64万元。主要用于：安谷城中村棚改工程（一期）项目跟踪审计服务费。</w:t>
      </w:r>
    </w:p>
    <w:p>
      <w:pPr>
        <w:autoSpaceDE w:val="0"/>
        <w:autoSpaceDN w:val="0"/>
        <w:adjustRightInd w:val="0"/>
        <w:spacing w:line="600" w:lineRule="exact"/>
        <w:ind w:firstLine="640" w:firstLineChars="200"/>
        <w:jc w:val="left"/>
        <w:outlineLvl w:val="2"/>
        <w:rPr>
          <w:rFonts w:ascii="楷体" w:hAnsi="楷体" w:eastAsia="楷体" w:cs="楷体"/>
          <w:bCs/>
          <w:color w:val="000000"/>
          <w:sz w:val="32"/>
          <w:szCs w:val="32"/>
        </w:rPr>
      </w:pPr>
      <w:bookmarkStart w:id="54" w:name="_Toc15377224"/>
      <w:r>
        <w:rPr>
          <w:rFonts w:hint="eastAsia" w:ascii="楷体" w:hAnsi="楷体" w:eastAsia="楷体" w:cs="楷体"/>
          <w:bCs/>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hAnsi="仿宋_GB2312" w:eastAsia="仿宋_GB2312" w:cs="仿宋_GB2312"/>
          <w:color w:val="000000"/>
          <w:sz w:val="32"/>
          <w:szCs w:val="32"/>
        </w:rPr>
        <w:t>截至2019年12月31日，财政局共有车辆0辆</w:t>
      </w:r>
      <w:r>
        <w:rPr>
          <w:rFonts w:hint="eastAsia" w:ascii="仿宋" w:hAnsi="仿宋" w:eastAsia="仿宋"/>
          <w:color w:val="000000"/>
          <w:sz w:val="32"/>
          <w:szCs w:val="32"/>
        </w:rPr>
        <w:t>。</w:t>
      </w:r>
    </w:p>
    <w:p>
      <w:pPr>
        <w:autoSpaceDE w:val="0"/>
        <w:autoSpaceDN w:val="0"/>
        <w:adjustRightInd w:val="0"/>
        <w:spacing w:line="600" w:lineRule="exact"/>
        <w:ind w:firstLine="640" w:firstLineChars="200"/>
        <w:jc w:val="left"/>
        <w:outlineLvl w:val="2"/>
        <w:rPr>
          <w:rFonts w:ascii="楷体" w:hAnsi="楷体" w:eastAsia="楷体" w:cs="楷体"/>
          <w:bCs/>
          <w:color w:val="000000"/>
          <w:sz w:val="32"/>
          <w:szCs w:val="32"/>
        </w:rPr>
      </w:pPr>
      <w:r>
        <w:rPr>
          <w:rFonts w:hint="eastAsia" w:ascii="楷体" w:hAnsi="楷体" w:eastAsia="楷体" w:cs="楷体"/>
          <w:bCs/>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财政局）在年初预算编制阶段，组织对11项目开展了预算事前绩效评估，对11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单位认真履行职能职责，严格按照预算法及高新区管委会的要求编制预算、决算、严格按照财经法律法规管理和使用资金。资金使用合理有效，既能保证运转又厉行节约成效明显，社会效益良好。本部门今年对照年初预算项目绩效自行梳理，项目绩效完成情况良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1.项目绩效目标完成情况。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本部门在2019年度部门决算中反映“地震保险保费补贴资金”，“财政业务系统升级及维护”，“兑现金融机构落户政策”等5个项目绩效目标实际完成情况。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地震保险保费补贴资金”项目绩效目标完成情况综述。项目全年预算数3.34万元，执行数为3.34万元，完成预算的100%。通过项目实施，保证农村散居五保户、城乡低保对象、贫困残疾人建档立卡人员100%的参保防范风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（2）“财政业务系统升级及维护费” 项目绩效目标完成情况综述。项目全年预算数14.96万元，执行数为14.96万元，完成预算的100%。通过项目实施，全区财政管理业务软件、固定资产软件得到维护，有效保障业务正常运转。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（3）“兑现金融机构落户政策”项目绩效目标完成情况综述。项目全年预算数5.00万元，执行数为5.00万元，完成预算的100%。通过项目实施，为园区企业，个体工商户，事业单位，提供优质的金融保障服务。</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4）“工程竣工结算审计费”项目绩效目标完成情况综述。项目全年预算数2.5万元，执行数为2.5万元，完成预算的100%。通过项目实施，强化资金管理。按比例，按标准对工程进行审减，有效的控制工程造价，规范优化政府投资环境。</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（5）“票据购买”项目绩效目标完成情况综述。项目全年预算数1.43万元，执行数为1.43万元，完成预算的100%。通过项目实施，保障全区财政票据供应充足，有效的促进各行政事业单位依法依规使用票据。</w:t>
      </w:r>
    </w:p>
    <w:p>
      <w:pPr>
        <w:spacing w:line="580" w:lineRule="exact"/>
        <w:ind w:firstLine="480" w:firstLineChars="15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47"/>
        <w:gridCol w:w="810"/>
        <w:gridCol w:w="1025"/>
        <w:gridCol w:w="1769"/>
        <w:gridCol w:w="2977"/>
        <w:gridCol w:w="243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abs>
                <w:tab w:val="left" w:pos="7655"/>
              </w:tabs>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kern w:val="0"/>
                <w:sz w:val="24"/>
              </w:rPr>
              <w:t>项目绩效目标完成情况表</w:t>
            </w:r>
            <w:r>
              <w:rPr>
                <w:rFonts w:hint="eastAsia" w:ascii="仿宋_GB2312" w:hAnsi="仿宋_GB2312" w:eastAsia="仿宋_GB2312" w:cs="仿宋_GB2312"/>
                <w:b/>
                <w:bCs/>
                <w:color w:val="000000"/>
                <w:kern w:val="0"/>
                <w:sz w:val="24"/>
              </w:rPr>
              <w:br w:type="textWrapping"/>
            </w:r>
            <w:r>
              <w:rPr>
                <w:rFonts w:hint="eastAsia" w:ascii="仿宋_GB2312" w:hAnsi="仿宋_GB2312" w:eastAsia="仿宋_GB2312" w:cs="仿宋_GB2312"/>
                <w:color w:val="000000"/>
                <w:kern w:val="0"/>
                <w:sz w:val="24"/>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地震保险保费补贴资金</w:t>
            </w:r>
          </w:p>
        </w:tc>
      </w:tr>
      <w:tr>
        <w:tblPrEx>
          <w:tblCellMar>
            <w:top w:w="0" w:type="dxa"/>
            <w:left w:w="0" w:type="dxa"/>
            <w:bottom w:w="0" w:type="dxa"/>
            <w:right w:w="0" w:type="dxa"/>
          </w:tblCellMar>
        </w:tblPrEx>
        <w:trPr>
          <w:trHeight w:val="325"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9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3.34</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3.34</w:t>
            </w:r>
          </w:p>
        </w:tc>
      </w:tr>
      <w:tr>
        <w:tblPrEx>
          <w:tblCellMar>
            <w:top w:w="0" w:type="dxa"/>
            <w:left w:w="0" w:type="dxa"/>
            <w:bottom w:w="0" w:type="dxa"/>
            <w:right w:w="0" w:type="dxa"/>
          </w:tblCellMar>
        </w:tblPrEx>
        <w:trPr>
          <w:trHeight w:val="276"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3.34</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3.34</w:t>
            </w:r>
          </w:p>
        </w:tc>
      </w:tr>
      <w:tr>
        <w:tblPrEx>
          <w:tblCellMar>
            <w:top w:w="0" w:type="dxa"/>
            <w:left w:w="0" w:type="dxa"/>
            <w:bottom w:w="0" w:type="dxa"/>
            <w:right w:w="0" w:type="dxa"/>
          </w:tblCellMar>
        </w:tblPrEx>
        <w:trPr>
          <w:trHeight w:val="793"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9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36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6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保证农村散居五保户、城乡低保对象、贫困残疾人建档立卡100%的参保</w:t>
            </w:r>
          </w:p>
        </w:tc>
        <w:tc>
          <w:tcPr>
            <w:tcW w:w="5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保证农村散居五保户、城乡低保对象、贫困残疾人建档立卡100%的参保</w:t>
            </w:r>
          </w:p>
        </w:tc>
      </w:tr>
      <w:tr>
        <w:tblPrEx>
          <w:tblCellMar>
            <w:top w:w="0" w:type="dxa"/>
            <w:left w:w="0" w:type="dxa"/>
            <w:bottom w:w="0" w:type="dxa"/>
            <w:right w:w="0" w:type="dxa"/>
          </w:tblCellMar>
        </w:tblPrEx>
        <w:trPr>
          <w:trHeight w:val="1120" w:hRule="atLeast"/>
          <w:jc w:val="center"/>
        </w:trPr>
        <w:tc>
          <w:tcPr>
            <w:tcW w:w="94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751"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地震保险补贴人次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补贴人次按上年约400人次</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实际补贴500人次</w:t>
            </w:r>
          </w:p>
        </w:tc>
      </w:tr>
      <w:tr>
        <w:tblPrEx>
          <w:tblCellMar>
            <w:top w:w="0" w:type="dxa"/>
            <w:left w:w="0" w:type="dxa"/>
            <w:bottom w:w="0" w:type="dxa"/>
            <w:right w:w="0" w:type="dxa"/>
          </w:tblCellMar>
        </w:tblPrEx>
        <w:trPr>
          <w:trHeight w:val="1039"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地震保险购买时间</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每年的10月份以前购买保险</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2019年10月份完成购买</w:t>
            </w:r>
          </w:p>
        </w:tc>
      </w:tr>
      <w:tr>
        <w:tblPrEx>
          <w:tblCellMar>
            <w:top w:w="0" w:type="dxa"/>
            <w:left w:w="0" w:type="dxa"/>
            <w:bottom w:w="0" w:type="dxa"/>
            <w:right w:w="0" w:type="dxa"/>
          </w:tblCellMar>
        </w:tblPrEx>
        <w:trPr>
          <w:trHeight w:val="1042"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地震保险补贴资金</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财政安排补贴资金3.34万元</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实际补贴3.34万元</w:t>
            </w:r>
          </w:p>
        </w:tc>
      </w:tr>
      <w:tr>
        <w:tblPrEx>
          <w:tblCellMar>
            <w:top w:w="0" w:type="dxa"/>
            <w:left w:w="0" w:type="dxa"/>
            <w:bottom w:w="0" w:type="dxa"/>
            <w:right w:w="0" w:type="dxa"/>
          </w:tblCellMar>
        </w:tblPrEx>
        <w:trPr>
          <w:trHeight w:val="690"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购买保险社会影响</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保证农村散居五保户、城乡低保对象、贫困残疾人建档立卡100%的参保，防范风险，维持稳定。</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保证农村散居五保户、城乡低保对象、贫困残疾人建档立卡100%的参保，防范风险，维持稳定。</w:t>
            </w:r>
          </w:p>
        </w:tc>
      </w:tr>
      <w:tr>
        <w:tblPrEx>
          <w:tblCellMar>
            <w:top w:w="0" w:type="dxa"/>
            <w:left w:w="0" w:type="dxa"/>
            <w:bottom w:w="0" w:type="dxa"/>
            <w:right w:w="0" w:type="dxa"/>
          </w:tblCellMar>
        </w:tblPrEx>
        <w:trPr>
          <w:trHeight w:val="988"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地震保险购买对当地老百姓的重要作用</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为农村弱势群体保驾护航</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为农村弱势群体保驾护航</w:t>
            </w:r>
          </w:p>
        </w:tc>
      </w:tr>
      <w:tr>
        <w:tblPrEx>
          <w:tblCellMar>
            <w:top w:w="0" w:type="dxa"/>
            <w:left w:w="0" w:type="dxa"/>
            <w:bottom w:w="0" w:type="dxa"/>
            <w:right w:w="0" w:type="dxa"/>
          </w:tblCellMar>
        </w:tblPrEx>
        <w:trPr>
          <w:trHeight w:val="1050" w:hRule="atLeast"/>
          <w:jc w:val="center"/>
        </w:trPr>
        <w:tc>
          <w:tcPr>
            <w:tcW w:w="94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地震保险购买人民对当地政府的满意度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09"/>
        <w:gridCol w:w="948"/>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28"/>
                <w:szCs w:val="28"/>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财政业务系统升级及维护费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9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14.96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14.96</w:t>
            </w:r>
          </w:p>
        </w:tc>
      </w:tr>
      <w:tr>
        <w:tblPrEx>
          <w:tblCellMar>
            <w:top w:w="0" w:type="dxa"/>
            <w:left w:w="0" w:type="dxa"/>
            <w:bottom w:w="0" w:type="dxa"/>
            <w:right w:w="0" w:type="dxa"/>
          </w:tblCellMar>
        </w:tblPrEx>
        <w:trPr>
          <w:trHeight w:val="276"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14.96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14.96</w:t>
            </w:r>
          </w:p>
        </w:tc>
      </w:tr>
      <w:tr>
        <w:tblPrEx>
          <w:tblCellMar>
            <w:top w:w="0" w:type="dxa"/>
            <w:left w:w="0" w:type="dxa"/>
            <w:bottom w:w="0" w:type="dxa"/>
            <w:right w:w="0" w:type="dxa"/>
          </w:tblCellMar>
        </w:tblPrEx>
        <w:trPr>
          <w:trHeight w:val="1511"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保障全区工作正常运行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保障全区工作正常运行</w:t>
            </w:r>
          </w:p>
        </w:tc>
      </w:tr>
      <w:tr>
        <w:tblPrEx>
          <w:tblCellMar>
            <w:top w:w="0" w:type="dxa"/>
            <w:left w:w="0" w:type="dxa"/>
            <w:bottom w:w="0" w:type="dxa"/>
            <w:right w:w="0" w:type="dxa"/>
          </w:tblCellMar>
        </w:tblPrEx>
        <w:trPr>
          <w:trHeight w:val="1042" w:hRule="atLeast"/>
          <w:jc w:val="center"/>
        </w:trPr>
        <w:tc>
          <w:tcPr>
            <w:tcW w:w="8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软件升级维护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软件购买及不定期维护，保障全区正常业务开展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实际维护次数不限</w:t>
            </w:r>
          </w:p>
        </w:tc>
      </w:tr>
      <w:tr>
        <w:tblPrEx>
          <w:tblCellMar>
            <w:top w:w="0" w:type="dxa"/>
            <w:left w:w="0" w:type="dxa"/>
            <w:bottom w:w="0" w:type="dxa"/>
            <w:right w:w="0" w:type="dxa"/>
          </w:tblCellMar>
        </w:tblPrEx>
        <w:trPr>
          <w:trHeight w:val="1297"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软件升级维护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1、先维护后付费，保证出现问题第一时间处理2、2019年12月31日前完成费用支付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在软件升级过程钟，维护及时。本部门于2019年12月完成支付，</w:t>
            </w:r>
          </w:p>
        </w:tc>
      </w:tr>
      <w:tr>
        <w:tblPrEx>
          <w:tblCellMar>
            <w:top w:w="0" w:type="dxa"/>
            <w:left w:w="0" w:type="dxa"/>
            <w:bottom w:w="0" w:type="dxa"/>
            <w:right w:w="0" w:type="dxa"/>
          </w:tblCellMar>
        </w:tblPrEx>
        <w:trPr>
          <w:trHeight w:val="882"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软件购买及维护费用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财政安排资金14.96万元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实际支付14.96万元</w:t>
            </w:r>
          </w:p>
        </w:tc>
      </w:tr>
      <w:tr>
        <w:tblPrEx>
          <w:tblCellMar>
            <w:top w:w="0" w:type="dxa"/>
            <w:left w:w="0" w:type="dxa"/>
            <w:bottom w:w="0" w:type="dxa"/>
            <w:right w:w="0" w:type="dxa"/>
          </w:tblCellMar>
        </w:tblPrEx>
        <w:trPr>
          <w:trHeight w:val="755"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全区各企事业单位软件升级维护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保证业务正常运转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保证业务正常运转</w:t>
            </w:r>
          </w:p>
        </w:tc>
      </w:tr>
      <w:tr>
        <w:tblPrEx>
          <w:tblCellMar>
            <w:top w:w="0" w:type="dxa"/>
            <w:left w:w="0" w:type="dxa"/>
            <w:bottom w:w="0" w:type="dxa"/>
            <w:right w:w="0" w:type="dxa"/>
          </w:tblCellMar>
        </w:tblPrEx>
        <w:trPr>
          <w:trHeight w:val="805"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软件的升级维护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对全区业务工作的开展更有积极性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对全区业务工作的开展更有积极性</w:t>
            </w:r>
          </w:p>
        </w:tc>
      </w:tr>
      <w:tr>
        <w:tblPrEx>
          <w:tblCellMar>
            <w:top w:w="0" w:type="dxa"/>
            <w:left w:w="0" w:type="dxa"/>
            <w:bottom w:w="0" w:type="dxa"/>
            <w:right w:w="0" w:type="dxa"/>
          </w:tblCellMar>
        </w:tblPrEx>
        <w:trPr>
          <w:trHeight w:val="787" w:hRule="atLeast"/>
          <w:jc w:val="center"/>
        </w:trPr>
        <w:tc>
          <w:tcPr>
            <w:tcW w:w="80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预算单位满意度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p>
      <w:pPr>
        <w:rPr>
          <w:rFonts w:ascii="仿宋_GB2312" w:hAnsi="仿宋_GB2312" w:eastAsia="仿宋_GB2312" w:cs="仿宋_GB2312"/>
          <w:sz w:val="24"/>
        </w:rPr>
      </w:pPr>
      <w:r>
        <w:rPr>
          <w:rFonts w:ascii="仿宋_GB2312" w:hAnsi="仿宋_GB2312" w:eastAsia="仿宋_GB2312" w:cs="仿宋_GB2312"/>
          <w:sz w:val="24"/>
        </w:rPr>
        <w:br w:type="page"/>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32"/>
        <w:gridCol w:w="925"/>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仿宋_GB2312" w:hAnsi="仿宋_GB2312" w:eastAsia="仿宋_GB2312" w:cs="仿宋_GB2312"/>
                <w:b/>
                <w:bCs/>
                <w:color w:val="000000"/>
                <w:kern w:val="0"/>
                <w:sz w:val="24"/>
              </w:rPr>
            </w:pP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8"/>
                <w:szCs w:val="28"/>
              </w:rPr>
              <w:t>项目绩效目标完成情况表</w:t>
            </w:r>
            <w:r>
              <w:rPr>
                <w:rFonts w:hint="eastAsia" w:ascii="仿宋_GB2312" w:hAnsi="仿宋_GB2312" w:eastAsia="仿宋_GB2312" w:cs="仿宋_GB2312"/>
                <w:b/>
                <w:bCs/>
                <w:color w:val="000000"/>
                <w:kern w:val="0"/>
                <w:sz w:val="24"/>
              </w:rPr>
              <w:br w:type="textWrapping"/>
            </w:r>
            <w:r>
              <w:rPr>
                <w:rFonts w:hint="eastAsia" w:ascii="仿宋_GB2312" w:hAnsi="仿宋_GB2312" w:eastAsia="仿宋_GB2312" w:cs="仿宋_GB2312"/>
                <w:color w:val="000000"/>
                <w:kern w:val="0"/>
                <w:sz w:val="28"/>
                <w:szCs w:val="28"/>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兑现金融机构落户政策</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r>
      <w:tr>
        <w:tblPrEx>
          <w:tblCellMar>
            <w:top w:w="0" w:type="dxa"/>
            <w:left w:w="0" w:type="dxa"/>
            <w:bottom w:w="0" w:type="dxa"/>
            <w:right w:w="0" w:type="dxa"/>
          </w:tblCellMar>
        </w:tblPrEx>
        <w:trPr>
          <w:trHeight w:val="276"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r>
      <w:tr>
        <w:tblPrEx>
          <w:tblCellMar>
            <w:top w:w="0" w:type="dxa"/>
            <w:left w:w="0" w:type="dxa"/>
            <w:bottom w:w="0" w:type="dxa"/>
            <w:right w:w="0" w:type="dxa"/>
          </w:tblCellMar>
        </w:tblPrEx>
        <w:trPr>
          <w:trHeight w:val="1511"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3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3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为园区企业，个体工商户，事业单位，提供优质的金融保障服务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为园区企业，个体工商户，事业单位，提供优质的金融保障服务</w:t>
            </w:r>
          </w:p>
        </w:tc>
      </w:tr>
      <w:tr>
        <w:tblPrEx>
          <w:tblCellMar>
            <w:top w:w="0" w:type="dxa"/>
            <w:left w:w="0" w:type="dxa"/>
            <w:bottom w:w="0" w:type="dxa"/>
            <w:right w:w="0" w:type="dxa"/>
          </w:tblCellMar>
        </w:tblPrEx>
        <w:trPr>
          <w:trHeight w:val="1042" w:hRule="atLeast"/>
          <w:jc w:val="center"/>
        </w:trPr>
        <w:tc>
          <w:tcPr>
            <w:tcW w:w="8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落户金融机构个数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预期落户金融机构1户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实际落户1户</w:t>
            </w:r>
          </w:p>
        </w:tc>
      </w:tr>
      <w:tr>
        <w:tblPrEx>
          <w:tblCellMar>
            <w:top w:w="0" w:type="dxa"/>
            <w:left w:w="0" w:type="dxa"/>
            <w:bottom w:w="0" w:type="dxa"/>
            <w:right w:w="0" w:type="dxa"/>
          </w:tblCellMar>
        </w:tblPrEx>
        <w:trPr>
          <w:trHeight w:val="987"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落户时间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2019年完成落户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2019年完成落户</w:t>
            </w:r>
          </w:p>
        </w:tc>
      </w:tr>
      <w:tr>
        <w:tblPrEx>
          <w:tblCellMar>
            <w:top w:w="0" w:type="dxa"/>
            <w:left w:w="0" w:type="dxa"/>
            <w:bottom w:w="0" w:type="dxa"/>
            <w:right w:w="0" w:type="dxa"/>
          </w:tblCellMar>
        </w:tblPrEx>
        <w:trPr>
          <w:trHeight w:val="732"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政策奖补资金兑现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5万元</w:t>
            </w:r>
          </w:p>
        </w:tc>
      </w:tr>
      <w:tr>
        <w:tblPrEx>
          <w:tblCellMar>
            <w:top w:w="0" w:type="dxa"/>
            <w:left w:w="0" w:type="dxa"/>
            <w:bottom w:w="0" w:type="dxa"/>
            <w:right w:w="0" w:type="dxa"/>
          </w:tblCellMar>
        </w:tblPrEx>
        <w:trPr>
          <w:trHeight w:val="1042"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落户奖补政策的实施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为更多的金融机构落户打开政策大门，为国家级高新区的发展奠定基础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为更多的金融机构落户打开政策大门，为国家级高新区的发展奠定基础</w:t>
            </w:r>
          </w:p>
        </w:tc>
      </w:tr>
      <w:tr>
        <w:tblPrEx>
          <w:tblCellMar>
            <w:top w:w="0" w:type="dxa"/>
            <w:left w:w="0" w:type="dxa"/>
            <w:bottom w:w="0" w:type="dxa"/>
            <w:right w:w="0" w:type="dxa"/>
          </w:tblCellMar>
        </w:tblPrEx>
        <w:trPr>
          <w:trHeight w:val="1297"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落户奖补政策的实施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为更多的金融机构落户打开政策大门，为国家级高新区的发展奠定基础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为更多的金融机构落户打开政策大门，为国家级高新区的发展奠定基础</w:t>
            </w:r>
          </w:p>
        </w:tc>
      </w:tr>
      <w:tr>
        <w:tblPrEx>
          <w:tblCellMar>
            <w:top w:w="0" w:type="dxa"/>
            <w:left w:w="0" w:type="dxa"/>
            <w:bottom w:w="0" w:type="dxa"/>
            <w:right w:w="0" w:type="dxa"/>
          </w:tblCellMar>
        </w:tblPrEx>
        <w:trPr>
          <w:trHeight w:val="1050" w:hRule="atLeast"/>
          <w:jc w:val="center"/>
        </w:trPr>
        <w:tc>
          <w:tcPr>
            <w:tcW w:w="83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入驻机构满意度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tbl>
      <w:tblPr>
        <w:tblStyle w:val="12"/>
        <w:tblpPr w:leftFromText="180" w:rightFromText="180" w:vertAnchor="text" w:horzAnchor="page" w:tblpXSpec="center" w:tblpY="3"/>
        <w:tblOverlap w:val="never"/>
        <w:tblW w:w="10155" w:type="dxa"/>
        <w:jc w:val="center"/>
        <w:tblLayout w:type="fixed"/>
        <w:tblCellMar>
          <w:top w:w="0" w:type="dxa"/>
          <w:left w:w="0" w:type="dxa"/>
          <w:bottom w:w="0" w:type="dxa"/>
          <w:right w:w="0" w:type="dxa"/>
        </w:tblCellMar>
      </w:tblPr>
      <w:tblGrid>
        <w:gridCol w:w="923"/>
        <w:gridCol w:w="834"/>
        <w:gridCol w:w="1025"/>
        <w:gridCol w:w="2111"/>
        <w:gridCol w:w="2675"/>
        <w:gridCol w:w="2587"/>
      </w:tblGrid>
      <w:tr>
        <w:tblPrEx>
          <w:tblCellMar>
            <w:top w:w="0" w:type="dxa"/>
            <w:left w:w="0" w:type="dxa"/>
            <w:bottom w:w="0" w:type="dxa"/>
            <w:right w:w="0" w:type="dxa"/>
          </w:tblCellMar>
        </w:tblPrEx>
        <w:trPr>
          <w:trHeight w:val="1034" w:hRule="atLeast"/>
          <w:jc w:val="center"/>
        </w:trPr>
        <w:tc>
          <w:tcPr>
            <w:tcW w:w="1015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仿宋_GB2312" w:hAnsi="仿宋_GB2312" w:eastAsia="仿宋_GB2312" w:cs="仿宋_GB2312"/>
                <w:color w:val="000000"/>
                <w:kern w:val="0"/>
                <w:sz w:val="28"/>
                <w:szCs w:val="28"/>
              </w:rPr>
              <w:t>项目绩效目标完成情况表</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37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工程竣工结算审计费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37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r>
      <w:tr>
        <w:tblPrEx>
          <w:tblCellMar>
            <w:top w:w="0" w:type="dxa"/>
            <w:left w:w="0" w:type="dxa"/>
            <w:bottom w:w="0" w:type="dxa"/>
            <w:right w:w="0" w:type="dxa"/>
          </w:tblCellMar>
        </w:tblPrEx>
        <w:trPr>
          <w:trHeight w:val="276"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r>
      <w:tr>
        <w:tblPrEx>
          <w:tblCellMar>
            <w:top w:w="0" w:type="dxa"/>
            <w:left w:w="0" w:type="dxa"/>
            <w:bottom w:w="0" w:type="dxa"/>
            <w:right w:w="0" w:type="dxa"/>
          </w:tblCellMar>
        </w:tblPrEx>
        <w:trPr>
          <w:trHeight w:val="1511"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2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65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强化资金管理。按比例，按标准对工程进行审减，有效的控制工程造价，规范优化政府投资环境。</w:t>
            </w:r>
          </w:p>
          <w:p>
            <w:pPr>
              <w:widowControl/>
              <w:jc w:val="center"/>
              <w:textAlignment w:val="center"/>
              <w:rPr>
                <w:rFonts w:ascii="仿宋_GB2312" w:hAnsi="仿宋_GB2312" w:eastAsia="仿宋_GB2312" w:cs="仿宋_GB2312"/>
                <w:color w:val="000000"/>
                <w:sz w:val="24"/>
              </w:rPr>
            </w:pPr>
          </w:p>
        </w:tc>
        <w:tc>
          <w:tcPr>
            <w:tcW w:w="52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有强化资金管理。按比例，按标准对工程进行审减，有效的控制工程造价，规范优化政府投资环境。</w:t>
            </w:r>
          </w:p>
          <w:p>
            <w:pPr>
              <w:widowControl/>
              <w:jc w:val="center"/>
              <w:textAlignment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1042" w:hRule="atLeast"/>
          <w:jc w:val="center"/>
        </w:trPr>
        <w:tc>
          <w:tcPr>
            <w:tcW w:w="9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655"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结算项目</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14个项目</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14个项目</w:t>
            </w:r>
          </w:p>
        </w:tc>
      </w:tr>
      <w:tr>
        <w:tblPrEx>
          <w:tblCellMar>
            <w:top w:w="0" w:type="dxa"/>
            <w:left w:w="0" w:type="dxa"/>
            <w:bottom w:w="0" w:type="dxa"/>
            <w:right w:w="0" w:type="dxa"/>
          </w:tblCellMar>
        </w:tblPrEx>
        <w:trPr>
          <w:trHeight w:val="781"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审减金额</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送审金额1800万，审减48万</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送审金额1800万，审减48万</w:t>
            </w:r>
          </w:p>
        </w:tc>
      </w:tr>
      <w:tr>
        <w:tblPrEx>
          <w:tblCellMar>
            <w:top w:w="0" w:type="dxa"/>
            <w:left w:w="0" w:type="dxa"/>
            <w:bottom w:w="0" w:type="dxa"/>
            <w:right w:w="0" w:type="dxa"/>
          </w:tblCellMar>
        </w:tblPrEx>
        <w:trPr>
          <w:trHeight w:val="779"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工程竣工结算审计劳务费用</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2.5万</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2.5万</w:t>
            </w:r>
          </w:p>
        </w:tc>
      </w:tr>
      <w:tr>
        <w:tblPrEx>
          <w:tblCellMar>
            <w:top w:w="0" w:type="dxa"/>
            <w:left w:w="0" w:type="dxa"/>
            <w:bottom w:w="0" w:type="dxa"/>
            <w:right w:w="0" w:type="dxa"/>
          </w:tblCellMar>
        </w:tblPrEx>
        <w:trPr>
          <w:trHeight w:val="859"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工程竣工结算审计劳务费用</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考核验收合格以后付费</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考核验收合格以后付费</w:t>
            </w:r>
          </w:p>
        </w:tc>
      </w:tr>
      <w:tr>
        <w:tblPrEx>
          <w:tblCellMar>
            <w:top w:w="0" w:type="dxa"/>
            <w:left w:w="0" w:type="dxa"/>
            <w:bottom w:w="0" w:type="dxa"/>
            <w:right w:w="0" w:type="dxa"/>
          </w:tblCellMar>
        </w:tblPrEx>
        <w:trPr>
          <w:trHeight w:val="1042"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工程竣工结算审计</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有效的控制工程造价，规范优化政府投资环境。</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有效的控制工程造价，规范优化政府投资环境。</w:t>
            </w:r>
          </w:p>
        </w:tc>
      </w:tr>
      <w:tr>
        <w:tblPrEx>
          <w:tblCellMar>
            <w:top w:w="0" w:type="dxa"/>
            <w:left w:w="0" w:type="dxa"/>
            <w:bottom w:w="0" w:type="dxa"/>
            <w:right w:w="0" w:type="dxa"/>
          </w:tblCellMar>
        </w:tblPrEx>
        <w:trPr>
          <w:trHeight w:val="1114"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工程竣工结算审计</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规范优化政府投资环境。为更多没更大的企业投资奠定基础</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规范优化政府投资环境。为更多没更大的企业投资奠定基础</w:t>
            </w:r>
          </w:p>
        </w:tc>
      </w:tr>
      <w:tr>
        <w:tblPrEx>
          <w:tblCellMar>
            <w:top w:w="0" w:type="dxa"/>
            <w:left w:w="0" w:type="dxa"/>
            <w:bottom w:w="0" w:type="dxa"/>
            <w:right w:w="0" w:type="dxa"/>
          </w:tblCellMar>
        </w:tblPrEx>
        <w:trPr>
          <w:trHeight w:val="868" w:hRule="atLeast"/>
          <w:jc w:val="center"/>
        </w:trPr>
        <w:tc>
          <w:tcPr>
            <w:tcW w:w="9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审计人员、审计部门、施工单位满意度</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p>
      <w:pPr>
        <w:snapToGrid w:val="0"/>
        <w:spacing w:line="240" w:lineRule="exact"/>
        <w:rPr>
          <w:rFonts w:ascii="仿宋_GB2312" w:hAnsi="仿宋_GB2312" w:eastAsia="仿宋_GB2312" w:cs="仿宋_GB2312"/>
          <w:sz w:val="24"/>
        </w:rPr>
      </w:pPr>
    </w:p>
    <w:p>
      <w:pPr>
        <w:spacing w:line="580" w:lineRule="exact"/>
        <w:rPr>
          <w:rFonts w:ascii="楷体_GB2312" w:hAnsi="楷体_GB2312" w:eastAsia="楷体_GB2312" w:cs="楷体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6"/>
        <w:gridCol w:w="971"/>
        <w:gridCol w:w="1025"/>
        <w:gridCol w:w="1269"/>
        <w:gridCol w:w="2989"/>
        <w:gridCol w:w="2920"/>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仿宋_GB2312" w:hAnsi="仿宋_GB2312" w:eastAsia="仿宋_GB2312" w:cs="仿宋_GB2312"/>
                <w:color w:val="000000"/>
                <w:kern w:val="0"/>
                <w:sz w:val="28"/>
                <w:szCs w:val="28"/>
              </w:rPr>
              <w:t>项目绩效目标完成情况表</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票据购买</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w:t>
            </w:r>
          </w:p>
        </w:tc>
      </w:tr>
      <w:tr>
        <w:tblPrEx>
          <w:tblCellMar>
            <w:top w:w="0" w:type="dxa"/>
            <w:left w:w="0" w:type="dxa"/>
            <w:bottom w:w="0" w:type="dxa"/>
            <w:right w:w="0" w:type="dxa"/>
          </w:tblCellMar>
        </w:tblPrEx>
        <w:trPr>
          <w:trHeight w:val="276"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w:t>
            </w:r>
          </w:p>
        </w:tc>
      </w:tr>
      <w:tr>
        <w:tblPrEx>
          <w:tblCellMar>
            <w:top w:w="0" w:type="dxa"/>
            <w:left w:w="0" w:type="dxa"/>
            <w:bottom w:w="0" w:type="dxa"/>
            <w:right w:w="0" w:type="dxa"/>
          </w:tblCellMar>
        </w:tblPrEx>
        <w:trPr>
          <w:trHeight w:val="1511"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32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2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保障全区财政票据供应充足，有效的促进各行政事业单位依法依规使用票据。</w:t>
            </w:r>
          </w:p>
        </w:tc>
        <w:tc>
          <w:tcPr>
            <w:tcW w:w="5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保障全区财政票据供应充足，有效的促进各行政事业单位依法依规使用票据。</w:t>
            </w:r>
          </w:p>
        </w:tc>
      </w:tr>
      <w:tr>
        <w:tblPrEx>
          <w:tblCellMar>
            <w:top w:w="0" w:type="dxa"/>
            <w:left w:w="0" w:type="dxa"/>
            <w:bottom w:w="0" w:type="dxa"/>
            <w:right w:w="0" w:type="dxa"/>
          </w:tblCellMar>
        </w:tblPrEx>
        <w:trPr>
          <w:trHeight w:val="1042" w:hRule="atLeast"/>
          <w:jc w:val="center"/>
        </w:trPr>
        <w:tc>
          <w:tcPr>
            <w:tcW w:w="78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票据购买</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购买次数2次，购买种类有：行政往来票据、卫生院专用票据、学校专用票据、各预算单位报账单、申请计划单</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购买次数2次，购买种类有：行政往来票据、卫生院专用票据、学校专用票据、各预算单位报账单、申请计划单</w:t>
            </w:r>
          </w:p>
        </w:tc>
      </w:tr>
      <w:tr>
        <w:tblPrEx>
          <w:tblCellMar>
            <w:top w:w="0" w:type="dxa"/>
            <w:left w:w="0" w:type="dxa"/>
            <w:bottom w:w="0" w:type="dxa"/>
            <w:right w:w="0" w:type="dxa"/>
          </w:tblCellMar>
        </w:tblPrEx>
        <w:trPr>
          <w:trHeight w:val="1297"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时效性</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票据购买</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保证全区工作政策运转，票据及时提前购买。10日后完成支付</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2019年票据购买费用及时支付到位</w:t>
            </w:r>
          </w:p>
        </w:tc>
      </w:tr>
      <w:tr>
        <w:tblPrEx>
          <w:tblCellMar>
            <w:top w:w="0" w:type="dxa"/>
            <w:left w:w="0" w:type="dxa"/>
            <w:bottom w:w="0" w:type="dxa"/>
            <w:right w:w="0" w:type="dxa"/>
          </w:tblCellMar>
        </w:tblPrEx>
        <w:trPr>
          <w:trHeight w:val="1042"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票据购买</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2019年财政资金安排1.43万元用于购买票据</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实际购买费用1.43万元</w:t>
            </w:r>
          </w:p>
        </w:tc>
      </w:tr>
      <w:tr>
        <w:tblPrEx>
          <w:tblCellMar>
            <w:top w:w="0" w:type="dxa"/>
            <w:left w:w="0" w:type="dxa"/>
            <w:bottom w:w="0" w:type="dxa"/>
            <w:right w:w="0" w:type="dxa"/>
          </w:tblCellMar>
        </w:tblPrEx>
        <w:trPr>
          <w:trHeight w:val="1042"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票据的规范管理</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为预算单位提供正规票据有效的规范管理</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为预算单位提供正规票据有效的规范管理</w:t>
            </w:r>
          </w:p>
        </w:tc>
      </w:tr>
      <w:tr>
        <w:tblPrEx>
          <w:tblCellMar>
            <w:top w:w="0" w:type="dxa"/>
            <w:left w:w="0" w:type="dxa"/>
            <w:bottom w:w="0" w:type="dxa"/>
            <w:right w:w="0" w:type="dxa"/>
          </w:tblCellMar>
        </w:tblPrEx>
        <w:trPr>
          <w:trHeight w:val="1297"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票据的规范管理</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为预算单位提供正规票据有效的规范管理</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为预算单位提供正规票据有效的规范管理</w:t>
            </w:r>
          </w:p>
        </w:tc>
      </w:tr>
      <w:tr>
        <w:tblPrEx>
          <w:tblCellMar>
            <w:top w:w="0" w:type="dxa"/>
            <w:left w:w="0" w:type="dxa"/>
            <w:bottom w:w="0" w:type="dxa"/>
            <w:right w:w="0" w:type="dxa"/>
          </w:tblCellMar>
        </w:tblPrEx>
        <w:trPr>
          <w:trHeight w:val="1050" w:hRule="atLeast"/>
          <w:jc w:val="center"/>
        </w:trPr>
        <w:tc>
          <w:tcPr>
            <w:tcW w:w="78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各预算单位满意度</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p>
      <w:pPr>
        <w:spacing w:line="580" w:lineRule="exact"/>
        <w:rPr>
          <w:rFonts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本部门按要求对2019年部门整体支出绩效评价情况开展自评，《乐山高新技术产业开发区财政局2019年部门整体支出绩效评价报告》见附件（附件1）。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本部门2019年未组织项目绩效评价。</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8"/>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4.其他收入：指单位取得的除上述收入以外的各项收入。</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6.年初结转和结余：指以前年度尚未完成、结转到本年按有关规定继续使用的资金。</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9.一般公共服务支出（类）政府办公厅（室）及相关机构事务（款）行政运行（项）：指反映行政单位（包括实行公务员管理的事业单位）的基本支出。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10.一般公共服务支出（类）政府办公厅（室）及相关机构事务（款）一般行政管理事务（项）：指反映行政单位（包括实行公务员管理的事业单位）未单独设置项级科目的其他项目支出。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11.一般公共服务支出（类）政府办公厅（室）及相关机构事务（款）其他政府办公厅（室）及相关机构事务支出（项）：指反映除上述项目以外的其他政府办公厅（室）及相关机构事务支出。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12.一般公共服务支出（类）财政事务（款）行政运行（项）：指反映行政单位（包括实行公务员管理的事业单位）的基本支出。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13.一般公共服务支出（类）财政事务（款）一般行政管理事务（项）：指反映行政单位（包括实行公务员管理的事业单位）未单独设立项级科目的其他项目支出。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14.一般公共服务支出（类）财政事务（款）信息化建设（项）：指反映财政部门用于信息化建设方面的支出。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15.一般公共服务支出（类）财政事务（款）财政委托业务支出（项）：指反映财政委托评审机构进行财政投资评审和委托建设银行等机构代理业务发生的支出。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16.一般公共服务支出（类）财政事务（款）其他财政事务支出（项）：指反映除上述项目以外其他财政事务方面的支出。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17.一般公共服务支出（类）审计事务（款）一般行政管理事务（项）：指反映行政单位（包括实行公务员管理的事业单位）未单独设置项级科目的其他项目支出。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18.一般公共服务支出（类）审计事务（款）审计业务（项）：指反映各级审计机构的审计、专项审计调查、聘请社会审计组织人员及技术专家等方面的支出。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19.一般公共服务支出（类）市场监督管理事务（款）一般行政管理事务（项）：指反映行政单位（包括实行公务员管理的事业单位）未单独设置项级科目的其他项目支出。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20.公共安全支出（类）公安（款）一般行政管理事务（项）：指反映行政单位（包括实行公务员管理的事业单位）未单独设置项级科目的其他项目支出。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21.城乡社区支出（类）城乡社区管理事务（款）一般行政管理事务（项）：指反映行政单位（包括实行公务员管理的事业单位）未单独设置项级科目的其他项目支出。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22.金融支出（类）金融发展支出（款）其他金融发展支出（项）：指反映金融部门除上述项目以外其他用于监管方面的支出。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23.金融支出（类）其他金融支出（款）其他金融支出（项）：指反映除上述项目以外其他用于金融方面的支出。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24.灾害防治及应急管理支出（类）应急管理事务（款）一般行政管理事务（项）：指反映行政单位（包括实行公务员管理的事业单位）未单独设置项级科目的其他项目支出。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25.基本支出：指为保障机构正常运转、完成日常工作任务而发生的人员支出和公用支出。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26.项目支出：指在基本支出之外为完成特定行政任务和事业发展目标所发生的支出。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27.经营支出：指事业单位在专业业务活动及其辅助活动之外开展非独立核算经营活动发生的支出。</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hint="eastAsia" w:ascii="仿宋_GB2312" w:hAnsi="仿宋_GB2312" w:eastAsia="仿宋_GB2312" w:cs="仿宋_GB2312"/>
          <w:b/>
          <w:color w:val="000000"/>
          <w:sz w:val="32"/>
          <w:szCs w:val="32"/>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财政局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pStyle w:val="23"/>
        <w:widowControl/>
        <w:numPr>
          <w:ilvl w:val="0"/>
          <w:numId w:val="9"/>
        </w:numPr>
        <w:adjustRightInd w:val="0"/>
        <w:snapToGrid w:val="0"/>
        <w:spacing w:line="580" w:lineRule="exact"/>
        <w:ind w:firstLineChars="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部门（单位）概况</w:t>
      </w:r>
    </w:p>
    <w:p>
      <w:pPr>
        <w:pStyle w:val="31"/>
        <w:numPr>
          <w:ilvl w:val="0"/>
          <w:numId w:val="0"/>
        </w:numPr>
        <w:ind w:firstLine="640" w:firstLineChars="200"/>
        <w:rPr>
          <w:rFonts w:ascii="仿宋_GB2312" w:hAnsi="仿宋_GB2312" w:eastAsia="仿宋_GB2312" w:cs="仿宋_GB2312"/>
          <w:szCs w:val="32"/>
        </w:rPr>
      </w:pPr>
      <w:r>
        <w:rPr>
          <w:rFonts w:hint="eastAsia" w:ascii="楷体" w:hAnsi="楷体" w:eastAsia="楷体" w:cs="楷体"/>
          <w:color w:val="000000"/>
          <w:kern w:val="0"/>
          <w:szCs w:val="32"/>
          <w:shd w:val="clear" w:color="auto" w:fill="FFFFFF"/>
        </w:rPr>
        <w:t>（一）机构组成</w:t>
      </w:r>
      <w:r>
        <w:rPr>
          <w:rFonts w:hint="eastAsia" w:ascii="仿宋_GB2312" w:hAnsi="仿宋_GB2312" w:eastAsia="仿宋_GB2312" w:cs="仿宋_GB2312"/>
          <w:color w:val="000000"/>
          <w:kern w:val="0"/>
          <w:szCs w:val="32"/>
          <w:shd w:val="clear" w:color="auto" w:fill="FFFFFF"/>
        </w:rPr>
        <w:t>：</w:t>
      </w:r>
      <w:r>
        <w:rPr>
          <w:rFonts w:hint="eastAsia" w:ascii="仿宋_GB2312" w:hAnsi="仿宋_GB2312" w:eastAsia="仿宋_GB2312" w:cs="仿宋_GB2312"/>
          <w:shd w:val="clear" w:color="auto" w:fill="FFFFFF"/>
          <w:lang w:val="en-US"/>
        </w:rPr>
        <w:t>高新区财政局是管委会职能机构，为全额经费拨款单位</w:t>
      </w:r>
      <w:r>
        <w:rPr>
          <w:rFonts w:hint="eastAsia" w:ascii="仿宋_GB2312" w:hAnsi="仿宋_GB2312" w:eastAsia="仿宋_GB2312" w:cs="仿宋_GB2312"/>
          <w:shd w:val="clear" w:color="auto" w:fill="FFFFFF"/>
        </w:rPr>
        <w:t>。</w:t>
      </w:r>
    </w:p>
    <w:p>
      <w:pPr>
        <w:pStyle w:val="30"/>
        <w:rPr>
          <w:rFonts w:hAnsi="仿宋_GB2312" w:cs="仿宋_GB2312"/>
        </w:rPr>
      </w:pPr>
      <w:r>
        <w:rPr>
          <w:rFonts w:hint="eastAsia" w:ascii="楷体" w:hAnsi="楷体" w:eastAsia="楷体" w:cs="楷体"/>
          <w:color w:val="000000"/>
          <w:kern w:val="0"/>
          <w:shd w:val="clear" w:color="auto" w:fill="FFFFFF"/>
          <w:lang w:val="zh-CN"/>
        </w:rPr>
        <w:t>（二）机构职能</w:t>
      </w:r>
      <w:r>
        <w:rPr>
          <w:rFonts w:hint="eastAsia" w:hAnsi="仿宋_GB2312" w:cs="仿宋_GB2312"/>
          <w:color w:val="000000"/>
          <w:kern w:val="0"/>
          <w:shd w:val="clear" w:color="auto" w:fill="FFFFFF"/>
          <w:lang w:val="zh-CN"/>
        </w:rPr>
        <w:t>：</w:t>
      </w:r>
      <w:r>
        <w:rPr>
          <w:rFonts w:hint="eastAsia" w:hAnsi="仿宋_GB2312" w:cs="仿宋_GB2312"/>
        </w:rPr>
        <w:t>负责辖区内财政管理，实施财政预算、决算，负责金融、国有资产监督管理；负责政府采购监督、政府债务、财政投资评审、审计监督等；承担党工委、管委会交办的其他工作任务。</w:t>
      </w:r>
    </w:p>
    <w:p>
      <w:pPr>
        <w:pStyle w:val="32"/>
        <w:numPr>
          <w:ilvl w:val="0"/>
          <w:numId w:val="0"/>
        </w:numPr>
        <w:ind w:firstLine="640" w:firstLineChars="200"/>
        <w:rPr>
          <w:rFonts w:ascii="仿宋_GB2312" w:hAnsi="仿宋_GB2312" w:eastAsia="仿宋_GB2312" w:cs="仿宋_GB2312"/>
        </w:rPr>
      </w:pPr>
      <w:r>
        <w:rPr>
          <w:rFonts w:hint="eastAsia" w:ascii="楷体" w:hAnsi="楷体" w:eastAsia="楷体" w:cs="楷体"/>
          <w:color w:val="000000"/>
          <w:kern w:val="0"/>
          <w:shd w:val="clear" w:color="auto" w:fill="FFFFFF"/>
          <w:lang w:val="zh-CN"/>
        </w:rPr>
        <w:t>（三）人员概况</w:t>
      </w:r>
      <w:r>
        <w:rPr>
          <w:rFonts w:hint="eastAsia" w:ascii="仿宋_GB2312" w:hAnsi="仿宋_GB2312" w:eastAsia="仿宋_GB2312" w:cs="仿宋_GB2312"/>
          <w:color w:val="000000"/>
          <w:kern w:val="0"/>
          <w:shd w:val="clear" w:color="auto" w:fill="FFFFFF"/>
          <w:lang w:val="zh-CN"/>
        </w:rPr>
        <w:t>：</w:t>
      </w:r>
      <w:r>
        <w:rPr>
          <w:rFonts w:hint="eastAsia" w:ascii="仿宋_GB2312" w:hAnsi="仿宋_GB2312" w:eastAsia="仿宋_GB2312" w:cs="仿宋_GB2312"/>
        </w:rPr>
        <w:t>2019年编制人数为6人，其中行政编制为6人。年末实有人数共有17人：其中实有行政人员为6人，实有事业人员为2人，实有聘用人员5人，实有借用人员4名。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firstLineChars="200"/>
        <w:outlineLvl w:val="1"/>
        <w:rPr>
          <w:rFonts w:ascii="仿宋" w:hAnsi="仿宋" w:eastAsia="仿宋" w:cs="宋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lang w:val="zh-CN"/>
        </w:rPr>
        <w:t>（一）部门财政资金收入情况</w:t>
      </w:r>
      <w:r>
        <w:rPr>
          <w:rFonts w:hint="eastAsia" w:ascii="仿宋" w:hAnsi="仿宋" w:eastAsia="仿宋" w:cs="宋体"/>
          <w:color w:val="000000"/>
          <w:kern w:val="0"/>
          <w:sz w:val="32"/>
          <w:szCs w:val="32"/>
          <w:shd w:val="clear" w:color="auto" w:fill="FFFFFF"/>
          <w:lang w:val="zh-CN"/>
        </w:rPr>
        <w:t>：</w:t>
      </w:r>
      <w:r>
        <w:rPr>
          <w:rFonts w:hint="eastAsia" w:ascii="仿宋_GB2312" w:hAnsi="仿宋_GB2312" w:eastAsia="仿宋_GB2312" w:cs="仿宋_GB2312"/>
          <w:color w:val="000000"/>
          <w:sz w:val="32"/>
          <w:szCs w:val="32"/>
        </w:rPr>
        <w:t>2019年本年收入合计689.90万元，其中：一般公共预算财政拨款收入528.90万元，占76.66%；政府性基金预算财政拨款收入1.00万元，占0.14%；</w:t>
      </w:r>
      <w:r>
        <w:rPr>
          <w:rFonts w:hint="eastAsia" w:ascii="仿宋_GB2312" w:hAnsi="仿宋_GB2312" w:eastAsia="仿宋_GB2312" w:cs="仿宋_GB2312"/>
          <w:color w:val="000000" w:themeColor="text1"/>
          <w:sz w:val="32"/>
          <w:szCs w:val="32"/>
        </w:rPr>
        <w:t>年初结转和结余160.0万元，占23.20%</w:t>
      </w:r>
      <w:r>
        <w:rPr>
          <w:rFonts w:hint="eastAsia" w:ascii="仿宋" w:hAnsi="仿宋" w:eastAsia="仿宋"/>
          <w:color w:val="000000"/>
          <w:sz w:val="32"/>
          <w:szCs w:val="32"/>
        </w:rPr>
        <w:t>。</w:t>
      </w:r>
    </w:p>
    <w:p>
      <w:pPr>
        <w:spacing w:line="600" w:lineRule="exact"/>
        <w:ind w:firstLine="640" w:firstLineChars="200"/>
        <w:outlineLvl w:val="1"/>
        <w:rPr>
          <w:rFonts w:ascii="仿宋_GB2312" w:hAnsi="仿宋_GB2312" w:eastAsia="仿宋_GB2312" w:cs="仿宋_GB2312"/>
          <w:color w:val="000000"/>
          <w:sz w:val="32"/>
          <w:szCs w:val="32"/>
        </w:rPr>
      </w:pPr>
      <w:r>
        <w:rPr>
          <w:rFonts w:hint="eastAsia" w:ascii="楷体" w:hAnsi="楷体" w:eastAsia="楷体" w:cs="楷体"/>
          <w:color w:val="000000"/>
          <w:kern w:val="0"/>
          <w:sz w:val="32"/>
          <w:szCs w:val="32"/>
          <w:shd w:val="clear" w:color="auto" w:fill="FFFFFF"/>
          <w:lang w:val="zh-CN"/>
        </w:rPr>
        <w:t>（二）部门财政资金支出情况</w:t>
      </w:r>
      <w:r>
        <w:rPr>
          <w:rFonts w:hint="eastAsia" w:ascii="仿宋" w:hAnsi="仿宋" w:eastAsia="仿宋" w:cs="宋体"/>
          <w:color w:val="000000"/>
          <w:kern w:val="0"/>
          <w:sz w:val="32"/>
          <w:szCs w:val="32"/>
          <w:shd w:val="clear" w:color="auto" w:fill="FFFFFF"/>
          <w:lang w:val="zh-CN"/>
        </w:rPr>
        <w:t>：</w:t>
      </w:r>
      <w:r>
        <w:rPr>
          <w:rFonts w:hint="eastAsia" w:ascii="仿宋_GB2312" w:hAnsi="仿宋_GB2312" w:eastAsia="仿宋_GB2312" w:cs="仿宋_GB2312"/>
          <w:color w:val="000000"/>
          <w:sz w:val="32"/>
          <w:szCs w:val="32"/>
        </w:rPr>
        <w:t>2019年本年支出合计689.90万元，其中：基本支出114.36万元，占16.58%；项目支出421.44万元，占61.08%；年末结转和结余154.12万元，占22.34%</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（一）部门预算管理。</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1、</w:t>
      </w:r>
      <w:r>
        <w:rPr>
          <w:rFonts w:hint="eastAsia" w:ascii="仿宋_GB2312" w:hAnsi="仿宋_GB2312" w:eastAsia="仿宋_GB2312" w:cs="仿宋_GB2312"/>
          <w:szCs w:val="32"/>
        </w:rPr>
        <w:t>本单位严格根据国家有关方针、政策，按照上级下达的计划、任务和</w:t>
      </w:r>
      <w:r>
        <w:rPr>
          <w:rFonts w:hint="eastAsia" w:ascii="仿宋_GB2312" w:hAnsi="仿宋_GB2312" w:eastAsia="仿宋_GB2312" w:cs="仿宋_GB2312"/>
          <w:szCs w:val="32"/>
          <w:lang w:val="en-US"/>
        </w:rPr>
        <w:t>本单位职能职责，</w:t>
      </w:r>
      <w:r>
        <w:rPr>
          <w:rFonts w:hint="eastAsia" w:ascii="仿宋_GB2312" w:hAnsi="仿宋_GB2312" w:eastAsia="仿宋_GB2312" w:cs="仿宋_GB2312"/>
          <w:szCs w:val="32"/>
        </w:rPr>
        <w:t>本着收支平衡的原则，编制预算。</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2、</w:t>
      </w:r>
      <w:r>
        <w:rPr>
          <w:rFonts w:hint="eastAsia" w:ascii="仿宋_GB2312" w:hAnsi="仿宋_GB2312" w:eastAsia="仿宋_GB2312" w:cs="仿宋_GB2312"/>
          <w:szCs w:val="32"/>
        </w:rPr>
        <w:t>本单位严格执行预算编制程序，依据单位的年度工作计划，由</w:t>
      </w:r>
      <w:r>
        <w:rPr>
          <w:rFonts w:hint="eastAsia" w:ascii="仿宋_GB2312" w:hAnsi="仿宋_GB2312" w:eastAsia="仿宋_GB2312" w:cs="仿宋_GB2312"/>
          <w:szCs w:val="32"/>
          <w:lang w:val="en-US"/>
        </w:rPr>
        <w:t>单位领导、基本支出财务岗</w:t>
      </w:r>
      <w:r>
        <w:rPr>
          <w:rFonts w:hint="eastAsia" w:ascii="仿宋_GB2312" w:hAnsi="仿宋_GB2312" w:eastAsia="仿宋_GB2312" w:cs="仿宋_GB2312"/>
          <w:szCs w:val="32"/>
        </w:rPr>
        <w:t>、业务</w:t>
      </w:r>
      <w:r>
        <w:rPr>
          <w:rFonts w:hint="eastAsia" w:ascii="仿宋_GB2312" w:hAnsi="仿宋_GB2312" w:eastAsia="仿宋_GB2312" w:cs="仿宋_GB2312"/>
          <w:szCs w:val="32"/>
          <w:lang w:val="en-US"/>
        </w:rPr>
        <w:t>岗位</w:t>
      </w:r>
      <w:r>
        <w:rPr>
          <w:rFonts w:hint="eastAsia" w:ascii="仿宋_GB2312" w:hAnsi="仿宋_GB2312" w:eastAsia="仿宋_GB2312" w:cs="仿宋_GB2312"/>
          <w:szCs w:val="32"/>
        </w:rPr>
        <w:t>共同研究，</w:t>
      </w:r>
      <w:r>
        <w:rPr>
          <w:rFonts w:hint="eastAsia" w:ascii="仿宋_GB2312" w:hAnsi="仿宋_GB2312" w:eastAsia="仿宋_GB2312" w:cs="仿宋_GB2312"/>
          <w:szCs w:val="32"/>
          <w:lang w:val="en-US"/>
        </w:rPr>
        <w:t>提供基本支出编制依据和项目支出的编制依据，</w:t>
      </w:r>
      <w:r>
        <w:rPr>
          <w:rFonts w:hint="eastAsia" w:ascii="仿宋_GB2312" w:hAnsi="仿宋_GB2312" w:eastAsia="仿宋_GB2312" w:cs="仿宋_GB2312"/>
          <w:szCs w:val="32"/>
        </w:rPr>
        <w:t>报单位领导审核后，编制</w:t>
      </w:r>
      <w:r>
        <w:rPr>
          <w:rFonts w:hint="eastAsia" w:ascii="仿宋_GB2312" w:hAnsi="仿宋_GB2312" w:eastAsia="仿宋_GB2312" w:cs="仿宋_GB2312"/>
          <w:szCs w:val="32"/>
          <w:lang w:val="en-US"/>
        </w:rPr>
        <w:t>确定</w:t>
      </w:r>
      <w:r>
        <w:rPr>
          <w:rFonts w:hint="eastAsia" w:ascii="仿宋_GB2312" w:hAnsi="仿宋_GB2312" w:eastAsia="仿宋_GB2312" w:cs="仿宋_GB2312"/>
          <w:szCs w:val="32"/>
        </w:rPr>
        <w:t>单位预算指标建议数，报经上级审核下达经费指标后再调整编制正式预算，报经上级批准后，由部门掌握执行。</w:t>
      </w:r>
    </w:p>
    <w:p>
      <w:pPr>
        <w:widowControl/>
        <w:adjustRightInd w:val="0"/>
        <w:snapToGrid w:val="0"/>
        <w:spacing w:line="58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（二）结果应用情况。</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1、</w:t>
      </w:r>
      <w:r>
        <w:rPr>
          <w:rFonts w:hint="eastAsia" w:ascii="仿宋_GB2312" w:hAnsi="仿宋_GB2312" w:eastAsia="仿宋_GB2312" w:cs="仿宋_GB2312"/>
          <w:szCs w:val="32"/>
        </w:rPr>
        <w:t>严格按照政府采购相关制度要求，事前编制采购预算，事中编制采购计划，严控采购流程和招投标工作。</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2、</w:t>
      </w:r>
      <w:r>
        <w:rPr>
          <w:rFonts w:hint="eastAsia" w:ascii="仿宋_GB2312" w:hAnsi="仿宋_GB2312" w:eastAsia="仿宋_GB2312" w:cs="仿宋_GB2312"/>
          <w:szCs w:val="32"/>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3.</w:t>
      </w:r>
      <w:r>
        <w:rPr>
          <w:rFonts w:hint="eastAsia" w:ascii="仿宋_GB2312" w:hAnsi="仿宋_GB2312" w:eastAsia="仿宋_GB2312" w:cs="仿宋_GB2312"/>
          <w:szCs w:val="32"/>
        </w:rPr>
        <w:t>本单位内部建立</w:t>
      </w:r>
      <w:r>
        <w:rPr>
          <w:rFonts w:hint="eastAsia" w:ascii="仿宋_GB2312" w:hAnsi="仿宋_GB2312" w:eastAsia="仿宋_GB2312" w:cs="仿宋_GB2312"/>
          <w:szCs w:val="32"/>
          <w:lang w:val="en-US"/>
        </w:rPr>
        <w:t>完善的内控制度</w:t>
      </w:r>
      <w:r>
        <w:rPr>
          <w:rFonts w:hint="eastAsia" w:ascii="仿宋_GB2312" w:hAnsi="仿宋_GB2312" w:eastAsia="仿宋_GB2312" w:cs="仿宋_GB2312"/>
          <w:szCs w:val="32"/>
        </w:rPr>
        <w:t>，包括岗位人员责任岗位分离制度、收入支出管理制度、财务档案管理、票据管理、财务印章管理、专项资金管理制度办法等。</w:t>
      </w:r>
    </w:p>
    <w:p>
      <w:pPr>
        <w:pStyle w:val="31"/>
        <w:numPr>
          <w:ilvl w:val="0"/>
          <w:numId w:val="0"/>
        </w:numPr>
        <w:ind w:left="620"/>
        <w:rPr>
          <w:rFonts w:ascii="仿宋_GB2312" w:hAnsi="仿宋_GB2312" w:eastAsia="仿宋_GB2312" w:cs="仿宋_GB2312"/>
          <w:szCs w:val="32"/>
        </w:rPr>
      </w:pPr>
      <w:r>
        <w:rPr>
          <w:rFonts w:hint="eastAsia" w:ascii="仿宋_GB2312" w:hAnsi="仿宋_GB2312" w:eastAsia="仿宋_GB2312" w:cs="仿宋_GB2312"/>
          <w:szCs w:val="32"/>
          <w:lang w:val="en-US"/>
        </w:rPr>
        <w:t>4.</w:t>
      </w:r>
      <w:r>
        <w:rPr>
          <w:rFonts w:hint="eastAsia" w:ascii="仿宋_GB2312" w:hAnsi="仿宋_GB2312" w:eastAsia="仿宋_GB2312" w:cs="仿宋_GB2312"/>
          <w:szCs w:val="32"/>
        </w:rPr>
        <w:t>本单位严格执行预决算公开制度。</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5.</w:t>
      </w:r>
      <w:r>
        <w:rPr>
          <w:rFonts w:hint="eastAsia" w:ascii="仿宋_GB2312" w:hAnsi="仿宋_GB2312" w:eastAsia="仿宋_GB2312" w:cs="仿宋_GB2312"/>
          <w:szCs w:val="32"/>
        </w:rPr>
        <w:t>本单位在预决算编制过程中全面实行项目及总体绩效评价目标填报及按要求报送绩效自评报告。</w:t>
      </w:r>
    </w:p>
    <w:p>
      <w:pPr>
        <w:pStyle w:val="31"/>
        <w:numPr>
          <w:ilvl w:val="0"/>
          <w:numId w:val="0"/>
        </w:numPr>
        <w:ind w:firstLine="640" w:firstLineChars="200"/>
        <w:rPr>
          <w:rFonts w:ascii="仿宋_GB2312" w:hAnsi="仿宋_GB2312" w:eastAsia="仿宋_GB2312" w:cs="仿宋_GB2312"/>
          <w:szCs w:val="32"/>
          <w:lang w:val="en-US"/>
        </w:rPr>
      </w:pPr>
      <w:r>
        <w:rPr>
          <w:rFonts w:hint="eastAsia" w:ascii="仿宋_GB2312" w:hAnsi="仿宋_GB2312" w:eastAsia="仿宋_GB2312" w:cs="仿宋_GB2312"/>
          <w:szCs w:val="32"/>
          <w:lang w:val="en-US"/>
        </w:rPr>
        <w:t>6.</w:t>
      </w:r>
      <w:r>
        <w:rPr>
          <w:rFonts w:hint="eastAsia" w:ascii="仿宋_GB2312" w:hAnsi="仿宋_GB2312" w:eastAsia="仿宋_GB2312" w:cs="仿宋_GB2312"/>
          <w:szCs w:val="32"/>
        </w:rPr>
        <w:t>本单位全面接受财政监督检查，在2019年的各项检查中无违规违纪现象。</w:t>
      </w:r>
    </w:p>
    <w:p>
      <w:pPr>
        <w:widowControl/>
        <w:adjustRightInd w:val="0"/>
        <w:snapToGrid w:val="0"/>
        <w:spacing w:line="580" w:lineRule="exact"/>
        <w:ind w:firstLine="640" w:firstLineChars="200"/>
        <w:contextualSpacing/>
        <w:jc w:val="left"/>
        <w:rPr>
          <w:rFonts w:ascii="黑体" w:hAnsi="黑体" w:eastAsia="黑体" w:cs="仿宋"/>
          <w:color w:val="000000"/>
          <w:kern w:val="0"/>
          <w:sz w:val="32"/>
          <w:szCs w:val="32"/>
          <w:shd w:val="clear" w:color="auto" w:fill="FFFFFF"/>
        </w:rPr>
      </w:pPr>
      <w:r>
        <w:rPr>
          <w:rFonts w:hint="eastAsia" w:ascii="黑体" w:hAnsi="黑体" w:eastAsia="黑体" w:cs="仿宋"/>
          <w:color w:val="000000"/>
          <w:kern w:val="0"/>
          <w:sz w:val="32"/>
          <w:szCs w:val="32"/>
          <w:shd w:val="clear" w:color="auto" w:fill="FFFFFF"/>
        </w:rPr>
        <w:t>四、评价结论及建议</w:t>
      </w:r>
    </w:p>
    <w:p>
      <w:pPr>
        <w:pStyle w:val="32"/>
        <w:numPr>
          <w:ilvl w:val="0"/>
          <w:numId w:val="0"/>
        </w:numPr>
        <w:ind w:firstLine="640" w:firstLineChars="200"/>
        <w:rPr>
          <w:rFonts w:ascii="楷体" w:hAnsi="楷体" w:eastAsia="楷体" w:cs="楷体"/>
          <w:color w:val="000000"/>
          <w:kern w:val="0"/>
          <w:shd w:val="clear" w:color="auto" w:fill="FFFFFF"/>
          <w:lang w:val="zh-CN"/>
        </w:rPr>
      </w:pPr>
      <w:r>
        <w:rPr>
          <w:rFonts w:hint="eastAsia" w:ascii="楷体" w:hAnsi="楷体" w:eastAsia="楷体" w:cs="楷体"/>
          <w:color w:val="000000"/>
          <w:kern w:val="0"/>
          <w:shd w:val="clear" w:color="auto" w:fill="FFFFFF"/>
          <w:lang w:val="zh-CN"/>
        </w:rPr>
        <w:t>（一）评价结论。</w:t>
      </w:r>
    </w:p>
    <w:p>
      <w:pPr>
        <w:pStyle w:val="32"/>
        <w:numPr>
          <w:ilvl w:val="0"/>
          <w:numId w:val="0"/>
        </w:numPr>
        <w:ind w:firstLine="640" w:firstLineChars="200"/>
        <w:rPr>
          <w:rFonts w:ascii="仿宋_GB2312" w:hAnsi="仿宋_GB2312" w:eastAsia="仿宋_GB2312" w:cs="仿宋_GB2312"/>
        </w:rPr>
      </w:pPr>
      <w:r>
        <w:rPr>
          <w:rFonts w:hint="eastAsia" w:ascii="仿宋_GB2312" w:hAnsi="仿宋_GB2312" w:eastAsia="仿宋_GB2312" w:cs="仿宋_GB2312"/>
        </w:rPr>
        <w:t>2019年，我局围绕党工委、管委会的重大决策部署，主动适应经济发展新常态，积极发现和培育新的增长点，在保障“保工资、保运转、保民生”支出前提下，一是</w:t>
      </w:r>
      <w:r>
        <w:rPr>
          <w:rFonts w:hint="eastAsia" w:ascii="仿宋_GB2312" w:hAnsi="仿宋_GB2312" w:eastAsia="仿宋_GB2312" w:cs="仿宋_GB2312"/>
          <w:color w:val="000000"/>
          <w:kern w:val="0"/>
        </w:rPr>
        <w:t>财政收支任务圆满完成；二是足额筹措资金保障了基础设施建设，重点项目，重点工作的开展；三是</w:t>
      </w:r>
      <w:r>
        <w:rPr>
          <w:rFonts w:hint="eastAsia" w:ascii="仿宋_GB2312" w:hAnsi="仿宋_GB2312" w:eastAsia="仿宋_GB2312" w:cs="仿宋_GB2312"/>
        </w:rPr>
        <w:t>在预算、决算、国库支付管理、国资监管、政府采购、金融风险防范、债务管理工作中取得一定成效。</w:t>
      </w:r>
    </w:p>
    <w:p>
      <w:pPr>
        <w:widowControl/>
        <w:adjustRightInd w:val="0"/>
        <w:snapToGrid w:val="0"/>
        <w:spacing w:line="580" w:lineRule="exact"/>
        <w:ind w:firstLine="640" w:firstLineChars="200"/>
        <w:contextualSpacing/>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（二）存在问题。</w:t>
      </w:r>
    </w:p>
    <w:p>
      <w:pPr>
        <w:pStyle w:val="30"/>
        <w:rPr>
          <w:rFonts w:hAnsi="仿宋_GB2312" w:cs="仿宋_GB2312"/>
        </w:rPr>
      </w:pPr>
      <w:r>
        <w:rPr>
          <w:rFonts w:hint="eastAsia" w:hAnsi="仿宋_GB2312" w:cs="仿宋_GB2312"/>
        </w:rPr>
        <w:t>因为项目大多数都是委托业务费，服务时间都是以年为期限，所以支付时间都集中在下旬或者年底，造成项目支出滞后，整体预算执行进度不合理。</w:t>
      </w:r>
    </w:p>
    <w:p>
      <w:pPr>
        <w:widowControl/>
        <w:adjustRightInd w:val="0"/>
        <w:snapToGrid w:val="0"/>
        <w:spacing w:line="580" w:lineRule="exact"/>
        <w:ind w:firstLine="640" w:firstLineChars="200"/>
        <w:contextualSpacing/>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（三）改进建议。</w:t>
      </w:r>
    </w:p>
    <w:p>
      <w:pPr>
        <w:pStyle w:val="30"/>
        <w:rPr>
          <w:rFonts w:hAnsi="仿宋_GB2312" w:cs="仿宋_GB2312"/>
        </w:rPr>
      </w:pPr>
      <w:r>
        <w:rPr>
          <w:rFonts w:hint="eastAsia" w:hAnsi="仿宋_GB2312" w:cs="仿宋_GB2312"/>
        </w:rPr>
        <w:t>在今后的工作，一是严格预算编制，做到细化精确，确保所有费用纳入财政预算；二是严格落实专项经费使用管理规定，做到专款专用；三是在厉行节约经费开支上严格遵守八项规定。</w:t>
      </w:r>
    </w:p>
    <w:p>
      <w:pPr>
        <w:spacing w:line="580" w:lineRule="exact"/>
        <w:ind w:firstLine="640" w:firstLineChars="200"/>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703" w:right="1800" w:bottom="1440" w:left="1800" w:header="737"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BAECB"/>
    <w:multiLevelType w:val="singleLevel"/>
    <w:tmpl w:val="A83BAECB"/>
    <w:lvl w:ilvl="0" w:tentative="0">
      <w:start w:val="1"/>
      <w:numFmt w:val="decimal"/>
      <w:lvlText w:val="%1."/>
      <w:lvlJc w:val="left"/>
      <w:pPr>
        <w:tabs>
          <w:tab w:val="left" w:pos="312"/>
        </w:tabs>
      </w:pPr>
    </w:lvl>
  </w:abstractNum>
  <w:abstractNum w:abstractNumId="1">
    <w:nsid w:val="C01DDB37"/>
    <w:multiLevelType w:val="singleLevel"/>
    <w:tmpl w:val="C01DDB37"/>
    <w:lvl w:ilvl="0" w:tentative="0">
      <w:start w:val="1"/>
      <w:numFmt w:val="decimal"/>
      <w:lvlText w:val="%1."/>
      <w:lvlJc w:val="left"/>
      <w:pPr>
        <w:tabs>
          <w:tab w:val="left" w:pos="312"/>
        </w:tabs>
      </w:pPr>
    </w:lvl>
  </w:abstractNum>
  <w:abstractNum w:abstractNumId="2">
    <w:nsid w:val="C936C1F5"/>
    <w:multiLevelType w:val="singleLevel"/>
    <w:tmpl w:val="C936C1F5"/>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4F85EAF"/>
    <w:multiLevelType w:val="multilevel"/>
    <w:tmpl w:val="34F85EAF"/>
    <w:lvl w:ilvl="0" w:tentative="0">
      <w:start w:val="1"/>
      <w:numFmt w:val="chineseCountingThousand"/>
      <w:pStyle w:val="32"/>
      <w:suff w:val="nothing"/>
      <w:lvlText w:val="%1、"/>
      <w:lvlJc w:val="left"/>
      <w:pPr>
        <w:ind w:firstLine="637"/>
      </w:pPr>
      <w:rPr>
        <w:rFonts w:hint="eastAsia" w:cs="Times New Roman"/>
      </w:rPr>
    </w:lvl>
    <w:lvl w:ilvl="1" w:tentative="0">
      <w:start w:val="1"/>
      <w:numFmt w:val="lowerLetter"/>
      <w:lvlText w:val="%2)"/>
      <w:lvlJc w:val="left"/>
      <w:pPr>
        <w:ind w:left="1477" w:hanging="420"/>
      </w:pPr>
      <w:rPr>
        <w:rFonts w:cs="Times New Roman"/>
      </w:rPr>
    </w:lvl>
    <w:lvl w:ilvl="2" w:tentative="0">
      <w:start w:val="1"/>
      <w:numFmt w:val="lowerRoman"/>
      <w:lvlText w:val="%3."/>
      <w:lvlJc w:val="right"/>
      <w:pPr>
        <w:ind w:left="1897" w:hanging="420"/>
      </w:pPr>
      <w:rPr>
        <w:rFonts w:cs="Times New Roman"/>
      </w:rPr>
    </w:lvl>
    <w:lvl w:ilvl="3" w:tentative="0">
      <w:start w:val="1"/>
      <w:numFmt w:val="decimal"/>
      <w:lvlText w:val="%4."/>
      <w:lvlJc w:val="left"/>
      <w:pPr>
        <w:ind w:left="2317" w:hanging="420"/>
      </w:pPr>
      <w:rPr>
        <w:rFonts w:cs="Times New Roman"/>
      </w:rPr>
    </w:lvl>
    <w:lvl w:ilvl="4" w:tentative="0">
      <w:start w:val="1"/>
      <w:numFmt w:val="lowerLetter"/>
      <w:lvlText w:val="%5)"/>
      <w:lvlJc w:val="left"/>
      <w:pPr>
        <w:ind w:left="2737" w:hanging="420"/>
      </w:pPr>
      <w:rPr>
        <w:rFonts w:cs="Times New Roman"/>
      </w:rPr>
    </w:lvl>
    <w:lvl w:ilvl="5" w:tentative="0">
      <w:start w:val="1"/>
      <w:numFmt w:val="lowerRoman"/>
      <w:lvlText w:val="%6."/>
      <w:lvlJc w:val="right"/>
      <w:pPr>
        <w:ind w:left="3157" w:hanging="420"/>
      </w:pPr>
      <w:rPr>
        <w:rFonts w:cs="Times New Roman"/>
      </w:rPr>
    </w:lvl>
    <w:lvl w:ilvl="6" w:tentative="0">
      <w:start w:val="1"/>
      <w:numFmt w:val="decimal"/>
      <w:lvlText w:val="%7."/>
      <w:lvlJc w:val="left"/>
      <w:pPr>
        <w:ind w:left="3577" w:hanging="420"/>
      </w:pPr>
      <w:rPr>
        <w:rFonts w:cs="Times New Roman"/>
      </w:rPr>
    </w:lvl>
    <w:lvl w:ilvl="7" w:tentative="0">
      <w:start w:val="1"/>
      <w:numFmt w:val="lowerLetter"/>
      <w:lvlText w:val="%8)"/>
      <w:lvlJc w:val="left"/>
      <w:pPr>
        <w:ind w:left="3997" w:hanging="420"/>
      </w:pPr>
      <w:rPr>
        <w:rFonts w:cs="Times New Roman"/>
      </w:rPr>
    </w:lvl>
    <w:lvl w:ilvl="8" w:tentative="0">
      <w:start w:val="1"/>
      <w:numFmt w:val="lowerRoman"/>
      <w:lvlText w:val="%9."/>
      <w:lvlJc w:val="right"/>
      <w:pPr>
        <w:ind w:left="4417" w:hanging="420"/>
      </w:pPr>
      <w:rPr>
        <w:rFonts w:cs="Times New Roman"/>
      </w:rPr>
    </w:lvl>
  </w:abstractNum>
  <w:abstractNum w:abstractNumId="7">
    <w:nsid w:val="645D1697"/>
    <w:multiLevelType w:val="multilevel"/>
    <w:tmpl w:val="645D169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7EE55BF3"/>
    <w:multiLevelType w:val="multilevel"/>
    <w:tmpl w:val="7EE55BF3"/>
    <w:lvl w:ilvl="0" w:tentative="0">
      <w:start w:val="1"/>
      <w:numFmt w:val="chineseCountingThousand"/>
      <w:pStyle w:val="31"/>
      <w:suff w:val="nothing"/>
      <w:lvlText w:val="（%1）"/>
      <w:lvlJc w:val="left"/>
      <w:pPr>
        <w:ind w:firstLine="635"/>
      </w:pPr>
      <w:rPr>
        <w:rFonts w:hint="eastAsia" w:cs="Times New Roman"/>
      </w:rPr>
    </w:lvl>
    <w:lvl w:ilvl="1" w:tentative="0">
      <w:start w:val="1"/>
      <w:numFmt w:val="decimal"/>
      <w:lvlText w:val="%2."/>
      <w:lvlJc w:val="left"/>
      <w:pPr>
        <w:ind w:left="980" w:hanging="360"/>
      </w:pPr>
      <w:rPr>
        <w:rFonts w:hint="default"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num w:numId="1">
    <w:abstractNumId w:val="8"/>
  </w:num>
  <w:num w:numId="2">
    <w:abstractNumId w:val="6"/>
  </w:num>
  <w:num w:numId="3">
    <w:abstractNumId w:val="2"/>
  </w:num>
  <w:num w:numId="4">
    <w:abstractNumId w:val="5"/>
  </w:num>
  <w:num w:numId="5">
    <w:abstractNumId w:val="1"/>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DZjMjBjMDIzNGYyNTI3NDRlYTIwZTE0N2M4YzMifQ=="/>
  </w:docVars>
  <w:rsids>
    <w:rsidRoot w:val="00F1361C"/>
    <w:rsid w:val="00002236"/>
    <w:rsid w:val="00021C49"/>
    <w:rsid w:val="000222C6"/>
    <w:rsid w:val="0002549F"/>
    <w:rsid w:val="000468DB"/>
    <w:rsid w:val="0006487A"/>
    <w:rsid w:val="00065F8F"/>
    <w:rsid w:val="00070A43"/>
    <w:rsid w:val="000768F2"/>
    <w:rsid w:val="00085057"/>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5BF"/>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08B8"/>
    <w:rsid w:val="002A31DE"/>
    <w:rsid w:val="002B2613"/>
    <w:rsid w:val="002B5F97"/>
    <w:rsid w:val="002D19B0"/>
    <w:rsid w:val="002D6D05"/>
    <w:rsid w:val="002F1818"/>
    <w:rsid w:val="002F567B"/>
    <w:rsid w:val="00315FFA"/>
    <w:rsid w:val="003216A9"/>
    <w:rsid w:val="00335A74"/>
    <w:rsid w:val="003530CF"/>
    <w:rsid w:val="0036561B"/>
    <w:rsid w:val="0037013F"/>
    <w:rsid w:val="00380C92"/>
    <w:rsid w:val="003A1D01"/>
    <w:rsid w:val="003A484F"/>
    <w:rsid w:val="003A4883"/>
    <w:rsid w:val="003B0BE0"/>
    <w:rsid w:val="003B0C1B"/>
    <w:rsid w:val="003B688C"/>
    <w:rsid w:val="003B6C93"/>
    <w:rsid w:val="003B709B"/>
    <w:rsid w:val="003C0291"/>
    <w:rsid w:val="003C1BB2"/>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0A75"/>
    <w:rsid w:val="0048263A"/>
    <w:rsid w:val="00487E5D"/>
    <w:rsid w:val="004921AD"/>
    <w:rsid w:val="004A711F"/>
    <w:rsid w:val="004B199D"/>
    <w:rsid w:val="004B4690"/>
    <w:rsid w:val="004C14CD"/>
    <w:rsid w:val="004E0A2D"/>
    <w:rsid w:val="004E206B"/>
    <w:rsid w:val="004E6B00"/>
    <w:rsid w:val="004E6DF7"/>
    <w:rsid w:val="004F0FBD"/>
    <w:rsid w:val="004F236B"/>
    <w:rsid w:val="004F403E"/>
    <w:rsid w:val="00505A47"/>
    <w:rsid w:val="00512FDA"/>
    <w:rsid w:val="00520DA0"/>
    <w:rsid w:val="005213E1"/>
    <w:rsid w:val="00533868"/>
    <w:rsid w:val="00552011"/>
    <w:rsid w:val="0056451D"/>
    <w:rsid w:val="005664BB"/>
    <w:rsid w:val="00566FFA"/>
    <w:rsid w:val="0057481D"/>
    <w:rsid w:val="00575F0B"/>
    <w:rsid w:val="00576CDA"/>
    <w:rsid w:val="0058486E"/>
    <w:rsid w:val="00585B33"/>
    <w:rsid w:val="0059014D"/>
    <w:rsid w:val="005B042A"/>
    <w:rsid w:val="005B5C64"/>
    <w:rsid w:val="005B6B34"/>
    <w:rsid w:val="005C6BD0"/>
    <w:rsid w:val="005C6C4C"/>
    <w:rsid w:val="005D1C8B"/>
    <w:rsid w:val="005D468D"/>
    <w:rsid w:val="005D5CED"/>
    <w:rsid w:val="005E46EE"/>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4E2B"/>
    <w:rsid w:val="006A3141"/>
    <w:rsid w:val="006A5E34"/>
    <w:rsid w:val="006B2422"/>
    <w:rsid w:val="006B2B9A"/>
    <w:rsid w:val="006B5DEC"/>
    <w:rsid w:val="006B6538"/>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446E"/>
    <w:rsid w:val="007F55FC"/>
    <w:rsid w:val="007F5665"/>
    <w:rsid w:val="00800112"/>
    <w:rsid w:val="00813348"/>
    <w:rsid w:val="00816563"/>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18D1"/>
    <w:rsid w:val="008C4DB1"/>
    <w:rsid w:val="008C4EAF"/>
    <w:rsid w:val="008C5176"/>
    <w:rsid w:val="008C7FD0"/>
    <w:rsid w:val="008E1DE7"/>
    <w:rsid w:val="008E707C"/>
    <w:rsid w:val="00900B08"/>
    <w:rsid w:val="00902155"/>
    <w:rsid w:val="00902FA3"/>
    <w:rsid w:val="009059A1"/>
    <w:rsid w:val="009061A6"/>
    <w:rsid w:val="00923564"/>
    <w:rsid w:val="0092392E"/>
    <w:rsid w:val="009315F9"/>
    <w:rsid w:val="00933499"/>
    <w:rsid w:val="00935C98"/>
    <w:rsid w:val="009429EF"/>
    <w:rsid w:val="009448B4"/>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57CDF"/>
    <w:rsid w:val="00A67AB5"/>
    <w:rsid w:val="00A733B2"/>
    <w:rsid w:val="00A741C2"/>
    <w:rsid w:val="00A91760"/>
    <w:rsid w:val="00A93B00"/>
    <w:rsid w:val="00A93C21"/>
    <w:rsid w:val="00AB64C9"/>
    <w:rsid w:val="00AC3C6A"/>
    <w:rsid w:val="00AD0F83"/>
    <w:rsid w:val="00AD1C6A"/>
    <w:rsid w:val="00AD5620"/>
    <w:rsid w:val="00AD656B"/>
    <w:rsid w:val="00AD7C1B"/>
    <w:rsid w:val="00AE16BA"/>
    <w:rsid w:val="00AE1EBE"/>
    <w:rsid w:val="00B03C9D"/>
    <w:rsid w:val="00B060AE"/>
    <w:rsid w:val="00B10517"/>
    <w:rsid w:val="00B14E76"/>
    <w:rsid w:val="00B161B8"/>
    <w:rsid w:val="00B2048C"/>
    <w:rsid w:val="00B25D2B"/>
    <w:rsid w:val="00B310B9"/>
    <w:rsid w:val="00B35F3F"/>
    <w:rsid w:val="00B36CBB"/>
    <w:rsid w:val="00B425E0"/>
    <w:rsid w:val="00B440AA"/>
    <w:rsid w:val="00B44B70"/>
    <w:rsid w:val="00B53C56"/>
    <w:rsid w:val="00B57DAF"/>
    <w:rsid w:val="00B77EA6"/>
    <w:rsid w:val="00B81598"/>
    <w:rsid w:val="00B841F1"/>
    <w:rsid w:val="00B944D6"/>
    <w:rsid w:val="00BA4AE8"/>
    <w:rsid w:val="00BB4DF0"/>
    <w:rsid w:val="00BC289F"/>
    <w:rsid w:val="00BC2D50"/>
    <w:rsid w:val="00BC5361"/>
    <w:rsid w:val="00BC5460"/>
    <w:rsid w:val="00BC6B50"/>
    <w:rsid w:val="00BD0E25"/>
    <w:rsid w:val="00BD6B2B"/>
    <w:rsid w:val="00BF5BD6"/>
    <w:rsid w:val="00C03E31"/>
    <w:rsid w:val="00C30E69"/>
    <w:rsid w:val="00C33E72"/>
    <w:rsid w:val="00C340B1"/>
    <w:rsid w:val="00C354B2"/>
    <w:rsid w:val="00C35554"/>
    <w:rsid w:val="00C42709"/>
    <w:rsid w:val="00C533CC"/>
    <w:rsid w:val="00C5751C"/>
    <w:rsid w:val="00C61BFC"/>
    <w:rsid w:val="00C62B85"/>
    <w:rsid w:val="00C65438"/>
    <w:rsid w:val="00C91BD2"/>
    <w:rsid w:val="00C91CBB"/>
    <w:rsid w:val="00CB4E70"/>
    <w:rsid w:val="00CC09B6"/>
    <w:rsid w:val="00CC15AC"/>
    <w:rsid w:val="00CC2290"/>
    <w:rsid w:val="00CC666F"/>
    <w:rsid w:val="00CD1E3F"/>
    <w:rsid w:val="00CE44F6"/>
    <w:rsid w:val="00CE49DA"/>
    <w:rsid w:val="00CE7B61"/>
    <w:rsid w:val="00D00095"/>
    <w:rsid w:val="00D07C2F"/>
    <w:rsid w:val="00D114F0"/>
    <w:rsid w:val="00D13985"/>
    <w:rsid w:val="00D20620"/>
    <w:rsid w:val="00D254F7"/>
    <w:rsid w:val="00D26091"/>
    <w:rsid w:val="00D2685C"/>
    <w:rsid w:val="00D322A8"/>
    <w:rsid w:val="00D34E7C"/>
    <w:rsid w:val="00D35489"/>
    <w:rsid w:val="00D36AFE"/>
    <w:rsid w:val="00D4660B"/>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72DDE"/>
    <w:rsid w:val="00E82267"/>
    <w:rsid w:val="00E853CE"/>
    <w:rsid w:val="00E867B6"/>
    <w:rsid w:val="00E87F08"/>
    <w:rsid w:val="00EA010F"/>
    <w:rsid w:val="00ED1B63"/>
    <w:rsid w:val="00ED3C1F"/>
    <w:rsid w:val="00ED4085"/>
    <w:rsid w:val="00ED420E"/>
    <w:rsid w:val="00ED6FBE"/>
    <w:rsid w:val="00EE2F57"/>
    <w:rsid w:val="00EE3F7C"/>
    <w:rsid w:val="00EF4C34"/>
    <w:rsid w:val="00EF77C6"/>
    <w:rsid w:val="00F05438"/>
    <w:rsid w:val="00F1361C"/>
    <w:rsid w:val="00F156F0"/>
    <w:rsid w:val="00F160C7"/>
    <w:rsid w:val="00F2408F"/>
    <w:rsid w:val="00F240E9"/>
    <w:rsid w:val="00F36D8F"/>
    <w:rsid w:val="00F417B1"/>
    <w:rsid w:val="00F41D77"/>
    <w:rsid w:val="00F45853"/>
    <w:rsid w:val="00F602DF"/>
    <w:rsid w:val="00F754A1"/>
    <w:rsid w:val="00F81FD9"/>
    <w:rsid w:val="00F841AA"/>
    <w:rsid w:val="00F84A94"/>
    <w:rsid w:val="00F87E96"/>
    <w:rsid w:val="00FA23E8"/>
    <w:rsid w:val="00FC3D03"/>
    <w:rsid w:val="00FD3CC1"/>
    <w:rsid w:val="00FF1E02"/>
    <w:rsid w:val="00FF30B4"/>
    <w:rsid w:val="021306BD"/>
    <w:rsid w:val="033D08C3"/>
    <w:rsid w:val="061A1E39"/>
    <w:rsid w:val="09826FEE"/>
    <w:rsid w:val="0A2E71CF"/>
    <w:rsid w:val="10C055FF"/>
    <w:rsid w:val="15C50061"/>
    <w:rsid w:val="16BB723D"/>
    <w:rsid w:val="189B0DE8"/>
    <w:rsid w:val="1C3764C3"/>
    <w:rsid w:val="1E9D296D"/>
    <w:rsid w:val="1E9E54D8"/>
    <w:rsid w:val="1F242487"/>
    <w:rsid w:val="23A03640"/>
    <w:rsid w:val="240371BF"/>
    <w:rsid w:val="254355E8"/>
    <w:rsid w:val="26A12921"/>
    <w:rsid w:val="29FD04D3"/>
    <w:rsid w:val="2BD90C9A"/>
    <w:rsid w:val="319F7F4E"/>
    <w:rsid w:val="35F60882"/>
    <w:rsid w:val="3D751DEA"/>
    <w:rsid w:val="406C63F8"/>
    <w:rsid w:val="430D62A6"/>
    <w:rsid w:val="478E3BE8"/>
    <w:rsid w:val="47CD6BD8"/>
    <w:rsid w:val="48C630F0"/>
    <w:rsid w:val="4CC823D1"/>
    <w:rsid w:val="4E8132D9"/>
    <w:rsid w:val="4ECE2238"/>
    <w:rsid w:val="511A2CA6"/>
    <w:rsid w:val="5C822112"/>
    <w:rsid w:val="65F0220D"/>
    <w:rsid w:val="67FF5E65"/>
    <w:rsid w:val="6D247208"/>
    <w:rsid w:val="6FDC0E41"/>
    <w:rsid w:val="72734D90"/>
    <w:rsid w:val="72C1295C"/>
    <w:rsid w:val="752E2C8D"/>
    <w:rsid w:val="756050D2"/>
    <w:rsid w:val="77B13B42"/>
    <w:rsid w:val="792872F4"/>
    <w:rsid w:val="7DEE24A3"/>
    <w:rsid w:val="7E695E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C01〗正文"/>
    <w:basedOn w:val="1"/>
    <w:qFormat/>
    <w:uiPriority w:val="99"/>
    <w:pPr>
      <w:topLinePunct/>
      <w:spacing w:line="600" w:lineRule="exact"/>
      <w:ind w:firstLine="640" w:firstLineChars="200"/>
    </w:pPr>
    <w:rPr>
      <w:rFonts w:ascii="仿宋_GB2312" w:hAnsi="Calibri" w:eastAsia="仿宋_GB2312"/>
      <w:sz w:val="32"/>
      <w:szCs w:val="32"/>
    </w:rPr>
  </w:style>
  <w:style w:type="paragraph" w:customStyle="1" w:styleId="31">
    <w:name w:val="〖B02〗二级标题"/>
    <w:next w:val="1"/>
    <w:qFormat/>
    <w:uiPriority w:val="99"/>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2">
    <w:name w:val="〖B01〗一级标题"/>
    <w:next w:val="1"/>
    <w:qFormat/>
    <w:uiPriority w:val="99"/>
    <w:pPr>
      <w:numPr>
        <w:ilvl w:val="0"/>
        <w:numId w:val="2"/>
      </w:numPr>
      <w:topLinePunct/>
      <w:spacing w:line="600" w:lineRule="exact"/>
      <w:outlineLvl w:val="0"/>
    </w:pPr>
    <w:rPr>
      <w:rFonts w:ascii="黑体" w:hAnsi="Calibri"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收支对比表</a:t>
            </a:r>
            <a:endParaRPr lang="zh-CN" altLang="en-US"/>
          </a:p>
        </c:rich>
      </c:tx>
      <c:layout/>
      <c:overlay val="0"/>
    </c:title>
    <c:autoTitleDeleted val="0"/>
    <c:plotArea>
      <c:layout>
        <c:manualLayout>
          <c:layoutTarget val="inner"/>
          <c:xMode val="edge"/>
          <c:yMode val="edge"/>
          <c:x val="0.149049429657795"/>
          <c:y val="0.213584905660377"/>
          <c:w val="0.693944171380878"/>
          <c:h val="0.359094339622641"/>
        </c:manualLayout>
      </c:layout>
      <c:barChart>
        <c:barDir val="col"/>
        <c:grouping val="clustered"/>
        <c:varyColors val="0"/>
        <c:ser>
          <c:idx val="0"/>
          <c:order val="0"/>
          <c:tx>
            <c:strRef>
              <c:f>[附件画图.xls]Sheet1!$A$21</c:f>
              <c:strCache>
                <c:ptCount val="1"/>
                <c:pt idx="0">
                  <c:v>2018年</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[附件画图.xls]Sheet1!$B$21:$D$21</c:f>
              <c:numCache>
                <c:formatCode>General</c:formatCode>
                <c:ptCount val="3"/>
                <c:pt idx="0">
                  <c:v>1252.82</c:v>
                </c:pt>
                <c:pt idx="1">
                  <c:v>626.41</c:v>
                </c:pt>
                <c:pt idx="2">
                  <c:v>626.41</c:v>
                </c:pt>
              </c:numCache>
            </c:numRef>
          </c:val>
        </c:ser>
        <c:ser>
          <c:idx val="1"/>
          <c:order val="1"/>
          <c:tx>
            <c:strRef>
              <c:f>[附件画图.xls]Sheet1!$A$22</c:f>
              <c:strCache>
                <c:ptCount val="1"/>
                <c:pt idx="0">
                  <c:v>2019年</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[附件画图.xls]Sheet1!$B$22:$D$22</c:f>
              <c:numCache>
                <c:formatCode>General</c:formatCode>
                <c:ptCount val="3"/>
                <c:pt idx="0">
                  <c:v>1379.8</c:v>
                </c:pt>
                <c:pt idx="1">
                  <c:v>689.9</c:v>
                </c:pt>
                <c:pt idx="2">
                  <c:v>689.9</c:v>
                </c:pt>
              </c:numCache>
            </c:numRef>
          </c:val>
        </c:ser>
        <c:ser>
          <c:idx val="2"/>
          <c:order val="2"/>
          <c:tx>
            <c:strRef>
              <c:f>[附件画图.xls]Sheet1!$A$23</c:f>
              <c:strCache>
                <c:ptCount val="1"/>
                <c:pt idx="0">
                  <c:v>增加金额</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[附件画图.xls]Sheet1!$B$23:$D$23</c:f>
              <c:numCache>
                <c:formatCode>General</c:formatCode>
                <c:ptCount val="3"/>
                <c:pt idx="0">
                  <c:v>126.98</c:v>
                </c:pt>
                <c:pt idx="1">
                  <c:v>63.49</c:v>
                </c:pt>
                <c:pt idx="2">
                  <c:v>63.49</c:v>
                </c:pt>
              </c:numCache>
            </c:numRef>
          </c:val>
        </c:ser>
        <c:ser>
          <c:idx val="3"/>
          <c:order val="3"/>
          <c:tx>
            <c:strRef>
              <c:f>[附件画图.xls]Sheet1!$A$24</c:f>
              <c:strCache>
                <c:ptCount val="1"/>
                <c:pt idx="0">
                  <c:v>增加比例</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[附件画图.xls]Sheet1!$B$24:$D$24</c:f>
              <c:numCache>
                <c:formatCode>0.00%</c:formatCode>
                <c:ptCount val="3"/>
                <c:pt idx="0">
                  <c:v>0.101355342347664</c:v>
                </c:pt>
                <c:pt idx="1">
                  <c:v>0.101355342347664</c:v>
                </c:pt>
                <c:pt idx="2">
                  <c:v>0.101355342347664</c:v>
                </c:pt>
              </c:numCache>
            </c:numRef>
          </c:val>
        </c:ser>
        <c:dLbls>
          <c:showLegendKey val="0"/>
          <c:showVal val="0"/>
          <c:showCatName val="0"/>
          <c:showSerName val="0"/>
          <c:showPercent val="0"/>
          <c:showBubbleSize val="0"/>
        </c:dLbls>
        <c:gapWidth val="150"/>
        <c:axId val="81432960"/>
        <c:axId val="82990976"/>
      </c:barChart>
      <c:catAx>
        <c:axId val="81432960"/>
        <c:scaling>
          <c:orientation val="minMax"/>
        </c:scaling>
        <c:delete val="0"/>
        <c:axPos val="b"/>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2990976"/>
        <c:crosses val="autoZero"/>
        <c:auto val="1"/>
        <c:lblAlgn val="ctr"/>
        <c:lblOffset val="100"/>
        <c:noMultiLvlLbl val="0"/>
      </c:catAx>
      <c:valAx>
        <c:axId val="82990976"/>
        <c:scaling>
          <c:orientation val="minMax"/>
        </c:scaling>
        <c:delete val="0"/>
        <c:axPos val="l"/>
        <c:majorGridlines/>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43296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legend>
      <c:legendPos val="r"/>
      <c:layout>
        <c:manualLayout>
          <c:xMode val="edge"/>
          <c:yMode val="edge"/>
          <c:x val="0.86225"/>
          <c:y val="0.29225"/>
          <c:w val="0.132"/>
          <c:h val="0.24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a:t>
            </a:r>
            <a:endParaRPr lang="zh-CN"/>
          </a:p>
        </c:rich>
      </c:tx>
      <c:layout>
        <c:manualLayout>
          <c:xMode val="edge"/>
          <c:yMode val="edge"/>
          <c:x val="0.391663735490679"/>
          <c:y val="0.039344262295082"/>
        </c:manualLayout>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[附件画图.xls]Sheet1!$A$3:$A$5</c:f>
              <c:strCache>
                <c:ptCount val="3"/>
                <c:pt idx="0">
                  <c:v>其中：财政拨款收入</c:v>
                </c:pt>
                <c:pt idx="1">
                  <c:v>政府性基金收入</c:v>
                </c:pt>
                <c:pt idx="2">
                  <c:v>年初结转和结余</c:v>
                </c:pt>
              </c:strCache>
            </c:strRef>
          </c:cat>
          <c:val>
            <c:numRef>
              <c:f>[附件画图.xls]Sheet1!$B$3:$B$5</c:f>
              <c:numCache>
                <c:formatCode>General</c:formatCode>
                <c:ptCount val="3"/>
                <c:pt idx="0">
                  <c:v>528.9</c:v>
                </c:pt>
                <c:pt idx="1">
                  <c:v>1</c:v>
                </c:pt>
                <c:pt idx="2">
                  <c:v>160</c:v>
                </c:pt>
              </c:numCache>
            </c:numRef>
          </c:val>
        </c:ser>
        <c:dLbls>
          <c:showLegendKey val="0"/>
          <c:showVal val="1"/>
          <c:showCatName val="0"/>
          <c:showSerName val="0"/>
          <c:showPercent val="1"/>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本年支出</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dLbl>
              <c:idx val="1"/>
              <c:layout>
                <c:manualLayout>
                  <c:x val="-0.116305983103807"/>
                  <c:y val="0.0329218106995885"/>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1"/>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[附件画图.xls]Sheet1!$E$3:$E$5</c:f>
              <c:strCache>
                <c:ptCount val="3"/>
                <c:pt idx="0">
                  <c:v>基本支出</c:v>
                </c:pt>
                <c:pt idx="1">
                  <c:v>项目支出</c:v>
                </c:pt>
                <c:pt idx="2">
                  <c:v>年末结转和结余</c:v>
                </c:pt>
              </c:strCache>
            </c:strRef>
          </c:cat>
          <c:val>
            <c:numRef>
              <c:f>[附件画图.xls]Sheet1!$F$3:$F$5</c:f>
              <c:numCache>
                <c:formatCode>General</c:formatCode>
                <c:ptCount val="3"/>
                <c:pt idx="0">
                  <c:v>114.36</c:v>
                </c:pt>
                <c:pt idx="1">
                  <c:v>421.44</c:v>
                </c:pt>
                <c:pt idx="2">
                  <c:v>154.12</c:v>
                </c:pt>
              </c:numCache>
            </c:numRef>
          </c:val>
        </c:ser>
        <c:ser>
          <c:idx val="1"/>
          <c:order val="1"/>
          <c:explosion val="0"/>
          <c:dPt>
            <c:idx val="0"/>
            <c:bubble3D val="0"/>
          </c:dPt>
          <c:dPt>
            <c:idx val="1"/>
            <c:bubble3D val="0"/>
          </c:dPt>
          <c:dPt>
            <c:idx val="2"/>
            <c:bubble3D val="0"/>
          </c:dPt>
          <c:dLbls>
            <c:delete val="1"/>
          </c:dLbls>
          <c:cat>
            <c:strRef>
              <c:f>[附件画图.xls]Sheet1!$E$3:$E$5</c:f>
              <c:strCache>
                <c:ptCount val="3"/>
                <c:pt idx="0">
                  <c:v>基本支出</c:v>
                </c:pt>
                <c:pt idx="1">
                  <c:v>项目支出</c:v>
                </c:pt>
                <c:pt idx="2">
                  <c:v>年末结转和结余</c:v>
                </c:pt>
              </c:strCache>
            </c:strRef>
          </c:cat>
          <c:val>
            <c:numRef>
              <c:f>[附件画图.xls]Sheet1!$G$3:$G$5</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635"/>
          <c:y val="0.468"/>
          <c:w val="0.13075"/>
          <c:h val="0.168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收支对比表</a:t>
            </a:r>
            <a:endParaRPr lang="zh-CN"/>
          </a:p>
        </c:rich>
      </c:tx>
      <c:layout/>
      <c:overlay val="0"/>
    </c:title>
    <c:autoTitleDeleted val="0"/>
    <c:plotArea>
      <c:layout>
        <c:manualLayout>
          <c:layoutTarget val="inner"/>
          <c:xMode val="edge"/>
          <c:yMode val="edge"/>
          <c:x val="0.149049429657795"/>
          <c:y val="0.213584905660377"/>
          <c:w val="0.693944171380878"/>
          <c:h val="0.359094339622641"/>
        </c:manualLayout>
      </c:layout>
      <c:barChart>
        <c:barDir val="col"/>
        <c:grouping val="clustered"/>
        <c:varyColors val="0"/>
        <c:ser>
          <c:idx val="0"/>
          <c:order val="0"/>
          <c:tx>
            <c:strRef>
              <c:f>[附件画图.xls]Sheet1!$A$21</c:f>
              <c:strCache>
                <c:ptCount val="1"/>
                <c:pt idx="0">
                  <c:v>2018年</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[附件画图.xls]Sheet1!$B$21:$D$21</c:f>
              <c:numCache>
                <c:formatCode>General</c:formatCode>
                <c:ptCount val="3"/>
                <c:pt idx="0">
                  <c:v>915.81</c:v>
                </c:pt>
                <c:pt idx="1">
                  <c:v>456.03</c:v>
                </c:pt>
                <c:pt idx="2">
                  <c:v>459.78</c:v>
                </c:pt>
              </c:numCache>
            </c:numRef>
          </c:val>
        </c:ser>
        <c:ser>
          <c:idx val="1"/>
          <c:order val="1"/>
          <c:tx>
            <c:strRef>
              <c:f>[附件画图.xls]Sheet1!$A$22</c:f>
              <c:strCache>
                <c:ptCount val="1"/>
                <c:pt idx="0">
                  <c:v>2019年</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[附件画图.xls]Sheet1!$B$22:$D$22</c:f>
              <c:numCache>
                <c:formatCode>General</c:formatCode>
                <c:ptCount val="3"/>
                <c:pt idx="0">
                  <c:v>1052.81</c:v>
                </c:pt>
                <c:pt idx="1">
                  <c:v>529.9</c:v>
                </c:pt>
                <c:pt idx="2">
                  <c:v>522.91</c:v>
                </c:pt>
              </c:numCache>
            </c:numRef>
          </c:val>
        </c:ser>
        <c:ser>
          <c:idx val="2"/>
          <c:order val="2"/>
          <c:tx>
            <c:strRef>
              <c:f>[附件画图.xls]Sheet1!$A$23</c:f>
              <c:strCache>
                <c:ptCount val="1"/>
                <c:pt idx="0">
                  <c:v>增加金额</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[附件画图.xls]Sheet1!$B$23:$D$23</c:f>
              <c:numCache>
                <c:formatCode>General</c:formatCode>
                <c:ptCount val="3"/>
                <c:pt idx="0">
                  <c:v>137</c:v>
                </c:pt>
                <c:pt idx="1">
                  <c:v>73.87</c:v>
                </c:pt>
                <c:pt idx="2">
                  <c:v>63.13</c:v>
                </c:pt>
              </c:numCache>
            </c:numRef>
          </c:val>
        </c:ser>
        <c:ser>
          <c:idx val="3"/>
          <c:order val="3"/>
          <c:tx>
            <c:strRef>
              <c:f>[附件画图.xls]Sheet1!$A$24</c:f>
              <c:strCache>
                <c:ptCount val="1"/>
                <c:pt idx="0">
                  <c:v>增加比例</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[附件画图.xls]Sheet1!$B$24:$D$24</c:f>
              <c:numCache>
                <c:formatCode>0.00%</c:formatCode>
                <c:ptCount val="3"/>
                <c:pt idx="0">
                  <c:v>0.149594348172656</c:v>
                </c:pt>
                <c:pt idx="1">
                  <c:v>0.161984957130013</c:v>
                </c:pt>
                <c:pt idx="2">
                  <c:v>0.137304797946844</c:v>
                </c:pt>
              </c:numCache>
            </c:numRef>
          </c:val>
        </c:ser>
        <c:dLbls>
          <c:showLegendKey val="0"/>
          <c:showVal val="0"/>
          <c:showCatName val="0"/>
          <c:showSerName val="0"/>
          <c:showPercent val="0"/>
          <c:showBubbleSize val="0"/>
        </c:dLbls>
        <c:gapWidth val="150"/>
        <c:axId val="81223680"/>
        <c:axId val="81225216"/>
      </c:barChart>
      <c:catAx>
        <c:axId val="81223680"/>
        <c:scaling>
          <c:orientation val="minMax"/>
        </c:scaling>
        <c:delete val="0"/>
        <c:axPos val="b"/>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225216"/>
        <c:crosses val="autoZero"/>
        <c:auto val="1"/>
        <c:lblAlgn val="ctr"/>
        <c:lblOffset val="100"/>
        <c:noMultiLvlLbl val="0"/>
      </c:catAx>
      <c:valAx>
        <c:axId val="81225216"/>
        <c:scaling>
          <c:orientation val="minMax"/>
        </c:scaling>
        <c:delete val="0"/>
        <c:axPos val="l"/>
        <c:majorGridlines/>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2236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legend>
      <c:legendPos val="r"/>
      <c:layout>
        <c:manualLayout>
          <c:xMode val="edge"/>
          <c:yMode val="edge"/>
          <c:x val="0.86225"/>
          <c:y val="0.29225"/>
          <c:w val="0.132"/>
          <c:h val="0.24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a:t>
            </a:r>
            <a:endParaRPr lang="zh-CN" altLang="en-US"/>
          </a:p>
        </c:rich>
      </c:tx>
      <c:layout/>
      <c:overlay val="0"/>
    </c:title>
    <c:autoTitleDeleted val="0"/>
    <c:plotArea>
      <c:layout>
        <c:manualLayout>
          <c:layoutTarget val="inner"/>
          <c:xMode val="edge"/>
          <c:yMode val="edge"/>
          <c:x val="0.3285"/>
          <c:y val="0.25"/>
          <c:w val="0.34025"/>
          <c:h val="0.37225"/>
        </c:manualLayout>
      </c:layout>
      <c:pieChart>
        <c:varyColors val="1"/>
        <c:ser>
          <c:idx val="0"/>
          <c:order val="0"/>
          <c:explosion val="0"/>
          <c:dPt>
            <c:idx val="0"/>
            <c:bubble3D val="0"/>
          </c:dPt>
          <c:dPt>
            <c:idx val="1"/>
            <c:bubble3D val="0"/>
          </c:dPt>
          <c:dPt>
            <c:idx val="2"/>
            <c:bubble3D val="0"/>
          </c:dPt>
          <c:dPt>
            <c:idx val="3"/>
            <c:bubble3D val="0"/>
          </c:dPt>
          <c:dPt>
            <c:idx val="4"/>
            <c:bubble3D val="0"/>
          </c:dPt>
          <c:dLbls>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[附件画图.xls]Sheet1!$A$69:$A$73</c:f>
              <c:strCache>
                <c:ptCount val="5"/>
                <c:pt idx="0">
                  <c:v>一般公共服务支出</c:v>
                </c:pt>
                <c:pt idx="1">
                  <c:v>公共安全</c:v>
                </c:pt>
                <c:pt idx="2">
                  <c:v>城乡社区</c:v>
                </c:pt>
                <c:pt idx="3">
                  <c:v>灾害防治及应急管理</c:v>
                </c:pt>
                <c:pt idx="4">
                  <c:v>金融</c:v>
                </c:pt>
              </c:strCache>
            </c:strRef>
          </c:cat>
          <c:val>
            <c:numRef>
              <c:f>[附件画图.xls]Sheet1!$B$69:$B$73</c:f>
              <c:numCache>
                <c:formatCode>General</c:formatCode>
                <c:ptCount val="5"/>
                <c:pt idx="0">
                  <c:v>437.56</c:v>
                </c:pt>
                <c:pt idx="1">
                  <c:v>43.13</c:v>
                </c:pt>
                <c:pt idx="2">
                  <c:v>5.93</c:v>
                </c:pt>
                <c:pt idx="3">
                  <c:v>13.95</c:v>
                </c:pt>
                <c:pt idx="4">
                  <c:v>22.34</c:v>
                </c:pt>
              </c:numCache>
            </c:numRef>
          </c:val>
        </c:ser>
        <c:dLbls>
          <c:showLegendKey val="0"/>
          <c:showVal val="1"/>
          <c:showCatName val="1"/>
          <c:showSerName val="0"/>
          <c:showPercent val="1"/>
          <c:showBubbleSize val="0"/>
          <c:showLeaderLines val="1"/>
        </c:dLbls>
        <c:firstSliceAng val="0"/>
      </c:pieChart>
    </c:plotArea>
    <c:legend>
      <c:legendPos val="r"/>
      <c:layout>
        <c:manualLayout>
          <c:xMode val="edge"/>
          <c:yMode val="edge"/>
          <c:x val="0.329"/>
          <c:y val="0.86375"/>
          <c:w val="0.32925"/>
          <c:h val="0.034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958125406813"/>
          <c:y val="0.108704402515723"/>
          <c:w val="0.33747016706444"/>
          <c:h val="0.782591194968553"/>
        </c:manualLayout>
      </c:layout>
      <c:pieChart>
        <c:varyColors val="1"/>
        <c:ser>
          <c:idx val="0"/>
          <c:order val="0"/>
          <c:explosion val="0"/>
          <c:dPt>
            <c:idx val="0"/>
            <c:bubble3D val="0"/>
          </c:dPt>
          <c:dPt>
            <c:idx val="1"/>
            <c:bubble3D val="0"/>
          </c:dPt>
          <c:dPt>
            <c:idx val="2"/>
            <c:bubble3D val="0"/>
          </c:dPt>
          <c:dLbls>
            <c:dLbl>
              <c:idx val="2"/>
              <c:layout>
                <c:manualLayout>
                  <c:x val="-0.216424387068778"/>
                  <c:y val="0.098709433959573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[附件画图.xls]Sheet1!$F$88:$F$90</c:f>
              <c:strCache>
                <c:ptCount val="3"/>
                <c:pt idx="0">
                  <c:v>公务接待费</c:v>
                </c:pt>
                <c:pt idx="1">
                  <c:v>公务车运行费</c:v>
                </c:pt>
                <c:pt idx="2">
                  <c:v>出国境</c:v>
                </c:pt>
              </c:strCache>
            </c:strRef>
          </c:cat>
          <c:val>
            <c:numRef>
              <c:f>[附件画图.xls]Sheet1!$G$88:$G$90</c:f>
              <c:numCache>
                <c:formatCode>General</c:formatCode>
                <c:ptCount val="3"/>
                <c:pt idx="0">
                  <c:v>0.35</c:v>
                </c:pt>
                <c:pt idx="1">
                  <c:v>0</c:v>
                </c:pt>
                <c:pt idx="2">
                  <c:v>0</c:v>
                </c:pt>
              </c:numCache>
            </c:numRef>
          </c:val>
        </c:ser>
        <c:ser>
          <c:idx val="1"/>
          <c:order val="1"/>
          <c:explosion val="0"/>
          <c:dPt>
            <c:idx val="0"/>
            <c:bubble3D val="0"/>
          </c:dPt>
          <c:dPt>
            <c:idx val="1"/>
            <c:bubble3D val="0"/>
          </c:dPt>
          <c:dPt>
            <c:idx val="2"/>
            <c:bubble3D val="0"/>
          </c:dPt>
          <c:dLbls>
            <c:delete val="1"/>
          </c:dLbls>
          <c:cat>
            <c:strRef>
              <c:f>[附件画图.xls]Sheet1!$F$88:$F$90</c:f>
              <c:strCache>
                <c:ptCount val="3"/>
                <c:pt idx="0">
                  <c:v>公务接待费</c:v>
                </c:pt>
                <c:pt idx="1">
                  <c:v>公务车运行费</c:v>
                </c:pt>
                <c:pt idx="2">
                  <c:v>出国境</c:v>
                </c:pt>
              </c:strCache>
            </c:strRef>
          </c:cat>
          <c:val>
            <c:numRef>
              <c:f>[附件画图.xls]Sheet1!$H$88:$H$90</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85"/>
          <c:y val="0.417"/>
          <c:w val="0.208"/>
          <c:h val="0.165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6FD2-ED12-47B7-9ECC-407E185FF56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1975</Words>
  <Characters>11262</Characters>
  <Lines>93</Lines>
  <Paragraphs>26</Paragraphs>
  <TotalTime>1</TotalTime>
  <ScaleCrop>false</ScaleCrop>
  <LinksUpToDate>false</LinksUpToDate>
  <CharactersWithSpaces>13211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2020-09-25T08:49:00Z</cp:lastPrinted>
  <dcterms:modified xsi:type="dcterms:W3CDTF">2023-08-25T03:28:05Z</dcterms:modified>
  <dc:title>四川省***</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F426AF90D36447E69403B879BE6F6D0C_13</vt:lpwstr>
  </property>
</Properties>
</file>