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7193"/>
      <w:bookmarkStart w:id="3" w:name="_Toc15396475"/>
      <w:bookmarkStart w:id="4" w:name="_Toc15378441"/>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52"/>
          <w:szCs w:val="52"/>
        </w:rPr>
      </w:pPr>
      <w:bookmarkStart w:id="6" w:name="_Toc15377426"/>
      <w:bookmarkStart w:id="7" w:name="_Toc15377194"/>
      <w:bookmarkStart w:id="8" w:name="_Toc15378442"/>
      <w:bookmarkStart w:id="9" w:name="_Toc15396476"/>
      <w:bookmarkStart w:id="10" w:name="_Toc15306268"/>
      <w:bookmarkStart w:id="11" w:name="_Toc15396598"/>
      <w:r>
        <w:rPr>
          <w:rFonts w:hint="eastAsia" w:ascii="方正小标宋简体" w:hAnsi="宋体" w:eastAsia="方正小标宋简体"/>
          <w:color w:val="000000"/>
          <w:sz w:val="72"/>
          <w:szCs w:val="72"/>
        </w:rPr>
        <w:t>乐山</w:t>
      </w:r>
      <w:r>
        <w:rPr>
          <w:rFonts w:hint="eastAsia" w:ascii="方正小标宋简体" w:hAnsi="宋体" w:eastAsia="方正小标宋简体"/>
          <w:color w:val="000000"/>
          <w:sz w:val="72"/>
          <w:szCs w:val="72"/>
          <w:lang w:val="en-US" w:eastAsia="zh-CN"/>
        </w:rPr>
        <w:t>高新技术产业开发区</w:t>
      </w:r>
      <w:r>
        <w:rPr>
          <w:rFonts w:hint="eastAsia" w:ascii="方正小标宋简体" w:hAnsi="宋体" w:eastAsia="方正小标宋简体"/>
          <w:color w:val="000000"/>
          <w:sz w:val="72"/>
          <w:szCs w:val="72"/>
        </w:rPr>
        <w:t>创新创业服务中心决算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公开时间：2020年9月</w:t>
      </w:r>
      <w:r>
        <w:rPr>
          <w:rFonts w:hint="eastAsia"/>
          <w:lang w:val="en-US" w:eastAsia="zh-CN"/>
        </w:rPr>
        <w:t xml:space="preserve"> </w:t>
      </w:r>
      <w:r>
        <w:rPr>
          <w:rFonts w:hint="eastAsia"/>
        </w:rPr>
        <w:t>日</w:t>
      </w:r>
    </w:p>
    <w:p/>
    <w:p>
      <w:pPr>
        <w:pStyle w:val="10"/>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部门概况</w:t>
      </w:r>
      <w:r>
        <w:rPr>
          <w:rFonts w:hint="eastAsia"/>
          <w:sz w:val="24"/>
          <w:lang w:val="en-US" w:eastAsia="zh-CN"/>
        </w:rPr>
        <w:tab/>
      </w:r>
      <w:r>
        <w:rPr>
          <w:rFonts w:hint="eastAsia"/>
          <w:b/>
          <w:bCs/>
          <w:sz w:val="24"/>
          <w:lang w:val="en-US" w:eastAsia="zh-CN"/>
        </w:rPr>
        <w:t>4</w:t>
      </w:r>
    </w:p>
    <w:p>
      <w:pPr>
        <w:pStyle w:val="11"/>
        <w:adjustRightInd w:val="0"/>
        <w:snapToGrid w:val="0"/>
        <w:spacing w:line="440" w:lineRule="exact"/>
        <w:jc w:val="left"/>
        <w:rPr>
          <w:rFonts w:hint="default" w:ascii="仿宋" w:hAnsi="仿宋" w:eastAsia="宋体"/>
          <w:sz w:val="24"/>
          <w:lang w:val="en-US" w:eastAsia="zh-CN"/>
        </w:rPr>
      </w:pPr>
      <w:r>
        <w:rPr>
          <w:rFonts w:hint="eastAsia"/>
          <w:sz w:val="24"/>
        </w:rPr>
        <w:t>一、基本职能及主要工作</w:t>
      </w:r>
      <w:r>
        <w:rPr>
          <w:rFonts w:hint="eastAsia"/>
          <w:sz w:val="24"/>
          <w:lang w:val="en-US" w:eastAsia="zh-CN"/>
        </w:rPr>
        <w:tab/>
      </w:r>
      <w:r>
        <w:rPr>
          <w:rFonts w:hint="eastAsia"/>
          <w:sz w:val="24"/>
          <w:lang w:val="en-US" w:eastAsia="zh-CN"/>
        </w:rPr>
        <w:t>4</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二、机构设置</w:t>
      </w:r>
      <w:r>
        <w:rPr>
          <w:rFonts w:hint="eastAsia"/>
          <w:sz w:val="24"/>
          <w:lang w:val="en-US" w:eastAsia="zh-CN"/>
        </w:rPr>
        <w:tab/>
      </w:r>
      <w:r>
        <w:rPr>
          <w:rFonts w:hint="eastAsia"/>
          <w:sz w:val="24"/>
          <w:lang w:val="en-US" w:eastAsia="zh-CN"/>
        </w:rPr>
        <w:t>5</w:t>
      </w:r>
    </w:p>
    <w:p>
      <w:pPr>
        <w:pStyle w:val="10"/>
        <w:adjustRightInd w:val="0"/>
        <w:snapToGrid w:val="0"/>
        <w:spacing w:before="0" w:line="440" w:lineRule="exact"/>
        <w:jc w:val="left"/>
        <w:rPr>
          <w:rFonts w:hint="eastAsia" w:eastAsia="仿宋"/>
          <w:sz w:val="24"/>
          <w:szCs w:val="24"/>
          <w:lang w:val="en-US" w:eastAsia="zh-CN"/>
        </w:rPr>
      </w:pPr>
      <w:r>
        <w:rPr>
          <w:rFonts w:hint="eastAsia"/>
          <w:sz w:val="24"/>
        </w:rPr>
        <w:t>第二部分度部门决算情况说明</w:t>
      </w:r>
      <w:r>
        <w:rPr>
          <w:rFonts w:hint="eastAsia"/>
          <w:sz w:val="24"/>
          <w:lang w:val="en-US" w:eastAsia="zh-CN"/>
        </w:rPr>
        <w:tab/>
      </w:r>
      <w:r>
        <w:rPr>
          <w:rFonts w:hint="eastAsia"/>
          <w:b/>
          <w:bCs/>
          <w:sz w:val="24"/>
          <w:lang w:val="en-US" w:eastAsia="zh-CN"/>
        </w:rPr>
        <w:t>6</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ab/>
      </w:r>
      <w:r>
        <w:rPr>
          <w:rFonts w:hint="eastAsia"/>
          <w:sz w:val="24"/>
          <w:lang w:val="en-US" w:eastAsia="zh-CN"/>
        </w:rPr>
        <w:t>6</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rPr>
          <w:rFonts w:hint="eastAsia"/>
          <w:sz w:val="24"/>
          <w:lang w:val="en-US" w:eastAsia="zh-CN"/>
        </w:rPr>
        <w:tab/>
      </w:r>
      <w:r>
        <w:rPr>
          <w:rFonts w:hint="eastAsia"/>
          <w:sz w:val="24"/>
          <w:lang w:val="en-US" w:eastAsia="zh-CN"/>
        </w:rPr>
        <w:t>6</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rPr>
          <w:rFonts w:hint="eastAsia"/>
          <w:sz w:val="24"/>
          <w:lang w:val="en-US" w:eastAsia="zh-CN"/>
        </w:rPr>
        <w:tab/>
      </w:r>
      <w:r>
        <w:rPr>
          <w:rFonts w:hint="eastAsia"/>
          <w:sz w:val="24"/>
          <w:lang w:val="en-US" w:eastAsia="zh-CN"/>
        </w:rPr>
        <w:t>7</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ab/>
      </w:r>
      <w:r>
        <w:rPr>
          <w:rFonts w:hint="eastAsia"/>
          <w:sz w:val="24"/>
          <w:lang w:val="en-US" w:eastAsia="zh-CN"/>
        </w:rPr>
        <w:t>7</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ab/>
      </w:r>
      <w:r>
        <w:rPr>
          <w:rFonts w:hint="eastAsia"/>
          <w:sz w:val="24"/>
          <w:lang w:val="en-US" w:eastAsia="zh-CN"/>
        </w:rPr>
        <w:t>8</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ab/>
      </w:r>
      <w:r>
        <w:rPr>
          <w:rFonts w:hint="eastAsia"/>
          <w:sz w:val="24"/>
          <w:lang w:val="en-US" w:eastAsia="zh-CN"/>
        </w:rPr>
        <w:t>10</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七、</w:t>
      </w:r>
      <w:r>
        <w:rPr>
          <w:sz w:val="24"/>
        </w:rPr>
        <w:t>“</w:t>
      </w:r>
      <w:r>
        <w:rPr>
          <w:rFonts w:hint="eastAsia"/>
          <w:sz w:val="24"/>
        </w:rPr>
        <w:t>三公”经费财政拨款支出决算情况说明</w:t>
      </w:r>
      <w:r>
        <w:rPr>
          <w:rFonts w:hint="eastAsia"/>
          <w:sz w:val="24"/>
          <w:lang w:val="en-US" w:eastAsia="zh-CN"/>
        </w:rPr>
        <w:tab/>
      </w:r>
      <w:r>
        <w:rPr>
          <w:rFonts w:hint="eastAsia"/>
          <w:sz w:val="24"/>
          <w:lang w:val="en-US" w:eastAsia="zh-CN"/>
        </w:rPr>
        <w:t>10</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ab/>
      </w:r>
      <w:r>
        <w:rPr>
          <w:rFonts w:hint="eastAsia"/>
          <w:sz w:val="24"/>
          <w:lang w:val="en-US" w:eastAsia="zh-CN"/>
        </w:rPr>
        <w:t>12</w:t>
      </w:r>
    </w:p>
    <w:p>
      <w:pPr>
        <w:pStyle w:val="11"/>
        <w:adjustRightInd w:val="0"/>
        <w:snapToGrid w:val="0"/>
        <w:spacing w:line="440" w:lineRule="exact"/>
        <w:jc w:val="left"/>
        <w:rPr>
          <w:rFonts w:hint="default"/>
          <w:sz w:val="24"/>
          <w:lang w:val="en-US" w:eastAsia="zh-CN"/>
        </w:rPr>
      </w:pPr>
      <w:r>
        <w:rPr>
          <w:rFonts w:hint="eastAsia"/>
          <w:sz w:val="24"/>
        </w:rPr>
        <w:t>九、 国有资本经营预算支出决算情况说明</w:t>
      </w:r>
      <w:r>
        <w:rPr>
          <w:rFonts w:hint="eastAsia"/>
          <w:sz w:val="24"/>
          <w:lang w:val="en-US" w:eastAsia="zh-CN"/>
        </w:rPr>
        <w:tab/>
      </w:r>
      <w:r>
        <w:rPr>
          <w:rFonts w:hint="eastAsia"/>
          <w:sz w:val="24"/>
          <w:lang w:val="en-US" w:eastAsia="zh-CN"/>
        </w:rPr>
        <w:t>12</w:t>
      </w:r>
    </w:p>
    <w:p>
      <w:pPr>
        <w:pStyle w:val="11"/>
        <w:adjustRightInd w:val="0"/>
        <w:snapToGrid w:val="0"/>
        <w:spacing w:line="440" w:lineRule="exact"/>
        <w:jc w:val="left"/>
        <w:rPr>
          <w:rFonts w:hint="default" w:ascii="Times New Roman" w:hAnsi="Times New Roman" w:eastAsia="宋体" w:cs="Times New Roman"/>
          <w:kern w:val="2"/>
          <w:sz w:val="24"/>
          <w:szCs w:val="24"/>
          <w:lang w:val="en-US" w:eastAsia="zh-CN" w:bidi="ar-SA"/>
        </w:rPr>
      </w:pPr>
      <w:r>
        <w:rPr>
          <w:rFonts w:hint="eastAsia"/>
          <w:sz w:val="24"/>
        </w:rPr>
        <w:t>十、其他重要事项的情况</w:t>
      </w:r>
      <w:r>
        <w:rPr>
          <w:rFonts w:hint="eastAsia"/>
          <w:sz w:val="24"/>
          <w:lang w:val="en-US" w:eastAsia="zh-CN"/>
        </w:rPr>
        <w:t>说明</w:t>
      </w:r>
      <w:r>
        <w:rPr>
          <w:rFonts w:hint="eastAsia"/>
          <w:sz w:val="24"/>
          <w:lang w:val="en-US" w:eastAsia="zh-CN"/>
        </w:rPr>
        <w:tab/>
      </w:r>
      <w:r>
        <w:rPr>
          <w:rFonts w:hint="eastAsia"/>
          <w:sz w:val="24"/>
          <w:lang w:val="en-US" w:eastAsia="zh-CN"/>
        </w:rPr>
        <w:t>12</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ab/>
      </w:r>
      <w:r>
        <w:rPr>
          <w:rFonts w:hint="eastAsia" w:ascii="Times New Roman" w:hAnsi="Times New Roman" w:eastAsia="宋体" w:cs="Times New Roman"/>
          <w:kern w:val="2"/>
          <w:sz w:val="24"/>
          <w:szCs w:val="24"/>
          <w:lang w:val="en-US" w:eastAsia="zh-CN" w:bidi="ar-SA"/>
        </w:rPr>
        <w:t>22</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ab/>
      </w:r>
      <w:r>
        <w:rPr>
          <w:rFonts w:hint="eastAsia" w:ascii="Times New Roman" w:hAnsi="Times New Roman" w:eastAsia="宋体" w:cs="Times New Roman"/>
          <w:kern w:val="2"/>
          <w:sz w:val="24"/>
          <w:szCs w:val="24"/>
          <w:lang w:val="en-US" w:eastAsia="zh-CN" w:bidi="ar-SA"/>
        </w:rPr>
        <w:t>25</w:t>
      </w:r>
    </w:p>
    <w:p>
      <w:pPr>
        <w:pStyle w:val="11"/>
        <w:adjustRightInd w:val="0"/>
        <w:snapToGrid w:val="0"/>
        <w:spacing w:line="440" w:lineRule="exact"/>
        <w:jc w:val="left"/>
        <w:rPr>
          <w:rFonts w:hint="eastAsia"/>
          <w:sz w:val="24"/>
          <w:lang w:val="en-US" w:eastAsia="zh-CN"/>
        </w:rPr>
      </w:pPr>
      <w:r>
        <w:rPr>
          <w:rFonts w:hint="eastAsia"/>
          <w:sz w:val="24"/>
        </w:rPr>
        <w:t>附件</w:t>
      </w:r>
      <w:r>
        <w:rPr>
          <w:sz w:val="24"/>
        </w:rPr>
        <w:t>1</w:t>
      </w:r>
      <w:r>
        <w:rPr>
          <w:rFonts w:hint="eastAsia"/>
          <w:sz w:val="24"/>
          <w:lang w:val="en-US" w:eastAsia="zh-CN"/>
        </w:rPr>
        <w:tab/>
      </w:r>
      <w:r>
        <w:rPr>
          <w:rFonts w:hint="eastAsia"/>
          <w:sz w:val="24"/>
          <w:lang w:val="en-US" w:eastAsia="zh-CN"/>
        </w:rPr>
        <w:t>25</w:t>
      </w:r>
    </w:p>
    <w:p>
      <w:pPr>
        <w:pStyle w:val="11"/>
        <w:adjustRightInd w:val="0"/>
        <w:snapToGrid w:val="0"/>
        <w:spacing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附件2</w:t>
      </w:r>
      <w:r>
        <w:rPr>
          <w:rFonts w:hint="eastAsia" w:cs="Times New Roman"/>
          <w:kern w:val="2"/>
          <w:sz w:val="24"/>
          <w:szCs w:val="24"/>
          <w:lang w:val="en-US" w:eastAsia="zh-CN" w:bidi="ar-SA"/>
        </w:rPr>
        <w:tab/>
      </w:r>
      <w:r>
        <w:rPr>
          <w:rFonts w:hint="eastAsia"/>
          <w:sz w:val="24"/>
          <w:lang w:val="en-US" w:eastAsia="zh-CN"/>
        </w:rPr>
        <w:t>28</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ab/>
      </w:r>
      <w:r>
        <w:rPr>
          <w:rFonts w:hint="eastAsia" w:ascii="Times New Roman" w:hAnsi="Times New Roman" w:eastAsia="宋体" w:cs="Times New Roman"/>
          <w:kern w:val="2"/>
          <w:sz w:val="24"/>
          <w:szCs w:val="24"/>
          <w:lang w:val="en-US" w:eastAsia="zh-CN" w:bidi="ar-SA"/>
        </w:rPr>
        <w:t>32</w:t>
      </w:r>
    </w:p>
    <w:p>
      <w:pPr>
        <w:pStyle w:val="11"/>
        <w:adjustRightInd w:val="0"/>
        <w:snapToGrid w:val="0"/>
        <w:spacing w:line="440" w:lineRule="exact"/>
        <w:jc w:val="left"/>
        <w:rPr>
          <w:rFonts w:hint="default"/>
          <w:sz w:val="24"/>
          <w:lang w:val="en-US" w:eastAsia="zh-CN"/>
        </w:rPr>
      </w:pPr>
      <w:r>
        <w:rPr>
          <w:rFonts w:hint="eastAsia"/>
          <w:sz w:val="24"/>
        </w:rPr>
        <w:t>一、收入支出决算总表</w:t>
      </w:r>
      <w:r>
        <w:rPr>
          <w:rFonts w:hint="eastAsia"/>
          <w:sz w:val="24"/>
          <w:lang w:val="en-US" w:eastAsia="zh-CN"/>
        </w:rPr>
        <w:tab/>
      </w:r>
      <w:r>
        <w:rPr>
          <w:rFonts w:hint="eastAsia"/>
          <w:sz w:val="24"/>
          <w:lang w:val="en-US" w:eastAsia="zh-CN"/>
        </w:rPr>
        <w:t>32</w:t>
      </w:r>
    </w:p>
    <w:p>
      <w:pPr>
        <w:pStyle w:val="11"/>
        <w:adjustRightInd w:val="0"/>
        <w:snapToGrid w:val="0"/>
        <w:spacing w:line="440" w:lineRule="exact"/>
        <w:jc w:val="left"/>
        <w:rPr>
          <w:rFonts w:hint="default"/>
          <w:sz w:val="24"/>
          <w:lang w:val="en-US" w:eastAsia="zh-CN"/>
        </w:rPr>
      </w:pPr>
      <w:r>
        <w:rPr>
          <w:rFonts w:hint="eastAsia"/>
          <w:sz w:val="24"/>
        </w:rPr>
        <w:t>二、收入决算表</w:t>
      </w:r>
      <w:r>
        <w:rPr>
          <w:rFonts w:hint="eastAsia"/>
          <w:sz w:val="24"/>
          <w:lang w:val="en-US" w:eastAsia="zh-CN"/>
        </w:rPr>
        <w:tab/>
      </w:r>
      <w:r>
        <w:rPr>
          <w:rFonts w:hint="eastAsia"/>
          <w:sz w:val="24"/>
          <w:lang w:val="en-US" w:eastAsia="zh-CN"/>
        </w:rPr>
        <w:t>32</w:t>
      </w:r>
    </w:p>
    <w:p>
      <w:pPr>
        <w:pStyle w:val="11"/>
        <w:adjustRightInd w:val="0"/>
        <w:snapToGrid w:val="0"/>
        <w:spacing w:line="440" w:lineRule="exact"/>
        <w:jc w:val="left"/>
        <w:rPr>
          <w:rFonts w:hint="default"/>
          <w:sz w:val="24"/>
          <w:lang w:val="en-US" w:eastAsia="zh-CN"/>
        </w:rPr>
      </w:pPr>
      <w:r>
        <w:rPr>
          <w:rFonts w:hint="eastAsia"/>
          <w:sz w:val="24"/>
        </w:rPr>
        <w:t>三、支出决算表</w:t>
      </w:r>
      <w:r>
        <w:rPr>
          <w:rFonts w:hint="eastAsia"/>
          <w:sz w:val="24"/>
          <w:lang w:val="en-US" w:eastAsia="zh-CN"/>
        </w:rPr>
        <w:tab/>
      </w:r>
      <w:r>
        <w:rPr>
          <w:rFonts w:hint="eastAsia"/>
          <w:sz w:val="24"/>
          <w:lang w:val="en-US" w:eastAsia="zh-CN"/>
        </w:rPr>
        <w:t>32</w:t>
      </w:r>
    </w:p>
    <w:p>
      <w:pPr>
        <w:pStyle w:val="11"/>
        <w:adjustRightInd w:val="0"/>
        <w:snapToGrid w:val="0"/>
        <w:spacing w:line="440" w:lineRule="exact"/>
        <w:jc w:val="left"/>
        <w:rPr>
          <w:rFonts w:hint="default"/>
          <w:sz w:val="24"/>
          <w:lang w:val="en-US" w:eastAsia="zh-CN"/>
        </w:rPr>
      </w:pPr>
      <w:r>
        <w:rPr>
          <w:rFonts w:hint="eastAsia"/>
          <w:sz w:val="24"/>
        </w:rPr>
        <w:t>四、财政拨款收入支出决算总表</w:t>
      </w:r>
      <w:r>
        <w:rPr>
          <w:rFonts w:hint="eastAsia"/>
          <w:sz w:val="24"/>
          <w:lang w:val="en-US" w:eastAsia="zh-CN"/>
        </w:rPr>
        <w:tab/>
      </w:r>
      <w:r>
        <w:rPr>
          <w:rFonts w:hint="eastAsia"/>
          <w:sz w:val="24"/>
          <w:lang w:val="en-US" w:eastAsia="zh-CN"/>
        </w:rPr>
        <w:t>32</w:t>
      </w:r>
    </w:p>
    <w:p>
      <w:pPr>
        <w:pStyle w:val="11"/>
        <w:adjustRightInd w:val="0"/>
        <w:snapToGrid w:val="0"/>
        <w:spacing w:line="440" w:lineRule="exact"/>
        <w:jc w:val="left"/>
        <w:rPr>
          <w:rFonts w:hint="default"/>
          <w:sz w:val="24"/>
          <w:lang w:val="en-US" w:eastAsia="zh-CN"/>
        </w:rPr>
      </w:pPr>
      <w:r>
        <w:rPr>
          <w:rFonts w:hint="eastAsia"/>
          <w:sz w:val="24"/>
        </w:rPr>
        <w:t>五、财政拨款支出决算明细表</w:t>
      </w:r>
      <w:r>
        <w:rPr>
          <w:rFonts w:hint="eastAsia"/>
          <w:sz w:val="24"/>
          <w:lang w:val="en-US" w:eastAsia="zh-CN"/>
        </w:rPr>
        <w:tab/>
      </w:r>
      <w:r>
        <w:rPr>
          <w:rFonts w:hint="eastAsia"/>
          <w:sz w:val="24"/>
          <w:lang w:val="en-US" w:eastAsia="zh-CN"/>
        </w:rPr>
        <w:t>32</w:t>
      </w:r>
    </w:p>
    <w:p>
      <w:pPr>
        <w:pStyle w:val="11"/>
        <w:adjustRightInd w:val="0"/>
        <w:snapToGrid w:val="0"/>
        <w:spacing w:line="440" w:lineRule="exact"/>
        <w:jc w:val="left"/>
        <w:rPr>
          <w:rFonts w:hint="default"/>
          <w:sz w:val="24"/>
          <w:lang w:val="en-US" w:eastAsia="zh-CN"/>
        </w:rPr>
      </w:pPr>
      <w:r>
        <w:rPr>
          <w:rFonts w:hint="eastAsia"/>
          <w:sz w:val="24"/>
        </w:rPr>
        <w:t>六、一般公共预算财政拨款支出决算表</w:t>
      </w:r>
      <w:r>
        <w:rPr>
          <w:rFonts w:hint="eastAsia"/>
          <w:sz w:val="24"/>
          <w:lang w:val="en-US" w:eastAsia="zh-CN"/>
        </w:rPr>
        <w:tab/>
      </w:r>
      <w:r>
        <w:rPr>
          <w:rFonts w:hint="eastAsia"/>
          <w:sz w:val="24"/>
          <w:lang w:val="en-US" w:eastAsia="zh-CN"/>
        </w:rPr>
        <w:t>32</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七、一般公共预算财政拨款支出决算明细表</w:t>
      </w:r>
      <w:r>
        <w:rPr>
          <w:rFonts w:hint="eastAsia"/>
          <w:sz w:val="24"/>
          <w:lang w:val="en-US" w:eastAsia="zh-CN"/>
        </w:rPr>
        <w:tab/>
      </w:r>
      <w:r>
        <w:rPr>
          <w:rFonts w:hint="eastAsia"/>
          <w:sz w:val="24"/>
          <w:lang w:val="en-US" w:eastAsia="zh-CN"/>
        </w:rPr>
        <w:t>32</w:t>
      </w:r>
    </w:p>
    <w:p>
      <w:pPr>
        <w:pStyle w:val="11"/>
        <w:adjustRightInd w:val="0"/>
        <w:snapToGrid w:val="0"/>
        <w:spacing w:line="440" w:lineRule="exact"/>
        <w:jc w:val="left"/>
        <w:rPr>
          <w:rFonts w:hint="default"/>
          <w:sz w:val="24"/>
          <w:lang w:val="en-US" w:eastAsia="zh-CN"/>
        </w:rPr>
      </w:pPr>
      <w:r>
        <w:rPr>
          <w:rFonts w:hint="eastAsia"/>
          <w:sz w:val="24"/>
        </w:rPr>
        <w:t>八、一般公共预算财政拨款基本支出决算表</w:t>
      </w:r>
      <w:r>
        <w:rPr>
          <w:rFonts w:hint="eastAsia"/>
          <w:sz w:val="24"/>
          <w:lang w:val="en-US" w:eastAsia="zh-CN"/>
        </w:rPr>
        <w:tab/>
      </w:r>
      <w:r>
        <w:rPr>
          <w:rFonts w:hint="eastAsia"/>
          <w:sz w:val="24"/>
          <w:lang w:val="en-US" w:eastAsia="zh-CN"/>
        </w:rPr>
        <w:t>32</w:t>
      </w:r>
    </w:p>
    <w:p>
      <w:pPr>
        <w:pStyle w:val="11"/>
        <w:adjustRightInd w:val="0"/>
        <w:snapToGrid w:val="0"/>
        <w:spacing w:line="440" w:lineRule="exact"/>
        <w:jc w:val="left"/>
        <w:rPr>
          <w:rFonts w:hint="default"/>
          <w:sz w:val="24"/>
          <w:lang w:val="en-US" w:eastAsia="zh-CN"/>
        </w:rPr>
      </w:pPr>
      <w:r>
        <w:rPr>
          <w:rFonts w:hint="eastAsia"/>
          <w:sz w:val="24"/>
        </w:rPr>
        <w:t>九、一般公共预算财政拨款项目支出决算表</w:t>
      </w:r>
      <w:r>
        <w:rPr>
          <w:rFonts w:hint="eastAsia"/>
          <w:sz w:val="24"/>
          <w:lang w:val="en-US" w:eastAsia="zh-CN"/>
        </w:rPr>
        <w:tab/>
      </w:r>
      <w:r>
        <w:rPr>
          <w:rFonts w:hint="eastAsia"/>
          <w:sz w:val="24"/>
          <w:lang w:val="en-US" w:eastAsia="zh-CN"/>
        </w:rPr>
        <w:t>32</w:t>
      </w:r>
    </w:p>
    <w:p>
      <w:pPr>
        <w:pStyle w:val="11"/>
        <w:adjustRightInd w:val="0"/>
        <w:snapToGrid w:val="0"/>
        <w:spacing w:line="440" w:lineRule="exact"/>
        <w:jc w:val="left"/>
        <w:rPr>
          <w:rFonts w:hint="default"/>
          <w:sz w:val="24"/>
          <w:lang w:val="en-US" w:eastAsia="zh-CN"/>
        </w:rPr>
      </w:pPr>
      <w:r>
        <w:rPr>
          <w:rFonts w:hint="eastAsia"/>
          <w:sz w:val="24"/>
        </w:rPr>
        <w:t>十、一般公共预算财政拨款“三公”经费支出决算表</w:t>
      </w:r>
      <w:r>
        <w:rPr>
          <w:rFonts w:hint="eastAsia"/>
          <w:sz w:val="24"/>
          <w:lang w:val="en-US" w:eastAsia="zh-CN"/>
        </w:rPr>
        <w:tab/>
      </w:r>
      <w:r>
        <w:rPr>
          <w:rFonts w:hint="eastAsia"/>
          <w:sz w:val="24"/>
          <w:lang w:val="en-US" w:eastAsia="zh-CN"/>
        </w:rPr>
        <w:t>32</w:t>
      </w:r>
    </w:p>
    <w:p>
      <w:pPr>
        <w:pStyle w:val="11"/>
        <w:adjustRightInd w:val="0"/>
        <w:snapToGrid w:val="0"/>
        <w:spacing w:line="440" w:lineRule="exact"/>
        <w:jc w:val="left"/>
        <w:rPr>
          <w:rFonts w:hint="default"/>
          <w:sz w:val="24"/>
          <w:lang w:val="en-US" w:eastAsia="zh-CN"/>
        </w:rPr>
      </w:pPr>
      <w:r>
        <w:rPr>
          <w:rFonts w:hint="eastAsia"/>
          <w:sz w:val="24"/>
        </w:rPr>
        <w:t>十一、政府性基金预算财政拨款收入支出决算表</w:t>
      </w:r>
      <w:r>
        <w:rPr>
          <w:rFonts w:hint="eastAsia"/>
          <w:sz w:val="24"/>
          <w:lang w:val="en-US" w:eastAsia="zh-CN"/>
        </w:rPr>
        <w:tab/>
      </w:r>
      <w:r>
        <w:rPr>
          <w:rFonts w:hint="eastAsia"/>
          <w:sz w:val="24"/>
          <w:lang w:val="en-US" w:eastAsia="zh-CN"/>
        </w:rPr>
        <w:t>32</w:t>
      </w:r>
    </w:p>
    <w:p>
      <w:pPr>
        <w:pStyle w:val="11"/>
        <w:adjustRightInd w:val="0"/>
        <w:snapToGrid w:val="0"/>
        <w:spacing w:line="440" w:lineRule="exact"/>
        <w:jc w:val="left"/>
        <w:rPr>
          <w:rFonts w:hint="default"/>
          <w:sz w:val="24"/>
          <w:lang w:val="en-US" w:eastAsia="zh-CN"/>
        </w:rPr>
      </w:pPr>
      <w:r>
        <w:rPr>
          <w:rFonts w:hint="eastAsia"/>
          <w:sz w:val="24"/>
        </w:rPr>
        <w:t>十二、政府性基金预算财政拨款“三公”经费支出决算表</w:t>
      </w:r>
      <w:r>
        <w:rPr>
          <w:rFonts w:hint="eastAsia"/>
          <w:sz w:val="24"/>
          <w:lang w:val="en-US" w:eastAsia="zh-CN"/>
        </w:rPr>
        <w:tab/>
      </w:r>
      <w:r>
        <w:rPr>
          <w:rFonts w:hint="eastAsia"/>
          <w:sz w:val="24"/>
          <w:lang w:val="en-US" w:eastAsia="zh-CN"/>
        </w:rPr>
        <w:t>32</w:t>
      </w:r>
    </w:p>
    <w:p>
      <w:pPr>
        <w:pStyle w:val="11"/>
        <w:adjustRightInd w:val="0"/>
        <w:snapToGrid w:val="0"/>
        <w:spacing w:line="440" w:lineRule="exact"/>
        <w:jc w:val="left"/>
        <w:rPr>
          <w:rFonts w:hint="default"/>
          <w:sz w:val="24"/>
          <w:lang w:val="en-US" w:eastAsia="zh-CN"/>
        </w:rPr>
      </w:pPr>
      <w:r>
        <w:rPr>
          <w:rFonts w:hint="eastAsia"/>
          <w:sz w:val="24"/>
        </w:rPr>
        <w:t>十三、国有资本经营预算支出决算表</w:t>
      </w:r>
      <w:r>
        <w:rPr>
          <w:rFonts w:hint="eastAsia"/>
          <w:sz w:val="24"/>
          <w:lang w:val="en-US" w:eastAsia="zh-CN"/>
        </w:rPr>
        <w:tab/>
      </w:r>
      <w:r>
        <w:rPr>
          <w:rFonts w:hint="eastAsia"/>
          <w:sz w:val="24"/>
          <w:lang w:val="en-US" w:eastAsia="zh-CN"/>
        </w:rPr>
        <w:t>32</w:t>
      </w:r>
    </w:p>
    <w:p>
      <w:pPr>
        <w:pStyle w:val="11"/>
        <w:adjustRightInd w:val="0"/>
        <w:snapToGrid w:val="0"/>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Fonts w:ascii="黑体" w:eastAsia="黑体"/>
          <w:color w:val="000000"/>
          <w:sz w:val="32"/>
          <w:szCs w:val="32"/>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7199"/>
      <w:bookmarkStart w:id="19" w:name="_Toc15378446"/>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cs="仿宋"/>
          <w:sz w:val="32"/>
          <w:szCs w:val="32"/>
        </w:rPr>
        <w:t>承担高新区创新孵化工作的组织实施，园区各类科技园、孵化器、众创空间、产学研等创新创业平台的创建、管理及入孵企业的引进、服务、管理；负责科技信息事务等；承担党工委、管委会交办的其他工作任务。</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spacing w:line="5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中心切实按照管委会下达的2019年度目标任务要求，积极组织开展各类创新创业服务活动，强化国家级科技企业孵化器平台建设，促进孵化企业的高新技术成果孵化和转化，圆满完成各项目标任务，整体绩效良好。</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1.企业孵化培育方面。全年共组织“创业精英培养计划”专题培训、“高企认定与管理”宣讲活动、“专精特新企业培育”专题讲座、“创新沙龙”、金融对接活动等活动12场；国家级孵化器新增入孵企业20家，孵化企业实现年度总收入超过1亿元，27家在孵企业拥有有效知识产权，3家孵化企业成功通过高新技术企业认定，4家在孵企业在天府（四川）联合股权交易中心挂牌。</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2.公共技术服务平台建设方面。针对新能源、先进制造、大数据、科技信息等领域重点打造了一批公共技术服务平台，其中包括：联合乐山晟嘉电气股份有限公司建设“储能电池检测公共技术服务平台”；联合重庆赛宝工业技术研究院（“中国赛宝（西南）实验室”）建立“中国赛宝实验室乐山工作站”；联合乐山太阳能研究院建立“新能源材料公共技术服务平台”；联合联通（四川）产业互联网有限公司建立“产业信息大数据服务平台”等。</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3.产学研合作等工作开展方面。与中科院成都分院合作开展知识产权研究、科技查新、科技文献检索及产业发展分析咨询等高水平“一站式”服务，全年共提供科技查新、代查代检报告、科技评估等服务40余家次，有力促进了企业转型升级、创新发展；深化与西南交通大学峨眉校区之间的“产学研合作”，重点依托西交大机械工程学院由教授、博士级专家人才领军的团队为企业提供产品开发、技术改造等服务，并于2019年4月被四川省人才工作领导小组办公室列入“省校合作”2019重点项目清单。</w:t>
      </w:r>
      <w:bookmarkStart w:id="20" w:name="_Toc15377200"/>
      <w:bookmarkStart w:id="21" w:name="_Toc15396601"/>
    </w:p>
    <w:p>
      <w:pPr>
        <w:spacing w:line="360" w:lineRule="auto"/>
        <w:ind w:firstLine="640" w:firstLineChars="200"/>
        <w:rPr>
          <w:rStyle w:val="26"/>
          <w:b w:val="0"/>
          <w:bCs w:val="0"/>
        </w:rPr>
      </w:pPr>
      <w:r>
        <w:rPr>
          <w:rStyle w:val="26"/>
          <w:rFonts w:hint="eastAsia" w:ascii="黑体" w:hAnsi="黑体" w:eastAsia="黑体"/>
          <w:b w:val="0"/>
          <w:bCs w:val="0"/>
        </w:rPr>
        <w:t>二、机构设置</w:t>
      </w:r>
      <w:bookmarkEnd w:id="20"/>
      <w:bookmarkEnd w:id="21"/>
    </w:p>
    <w:p>
      <w:pPr>
        <w:ind w:firstLine="800" w:firstLineChars="250"/>
        <w:rPr>
          <w:rFonts w:hint="eastAsia" w:ascii="仿宋" w:hAnsi="仿宋" w:eastAsia="仿宋"/>
          <w:sz w:val="32"/>
          <w:szCs w:val="32"/>
        </w:rPr>
      </w:pPr>
      <w:r>
        <w:rPr>
          <w:rFonts w:hint="eastAsia" w:ascii="仿宋" w:hAnsi="仿宋" w:eastAsia="仿宋"/>
          <w:sz w:val="32"/>
          <w:szCs w:val="32"/>
        </w:rPr>
        <w:t>乐山高新技术产业开发区创新创业服务中心（以下简称创新创业服务中心）属一级预算单位，其中行政单位0个，参照公务员法管理的事业单位0个，其他事业单位1个。</w:t>
      </w:r>
      <w:bookmarkStart w:id="22" w:name="_Toc15306276"/>
      <w:bookmarkStart w:id="23" w:name="_Toc15378449"/>
      <w:bookmarkStart w:id="24" w:name="_Toc15377433"/>
      <w:bookmarkStart w:id="25" w:name="_Toc15377202"/>
    </w:p>
    <w:p>
      <w:pPr>
        <w:ind w:firstLine="800" w:firstLineChars="25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无</w:t>
      </w:r>
      <w:bookmarkEnd w:id="22"/>
      <w:bookmarkEnd w:id="23"/>
      <w:bookmarkEnd w:id="24"/>
      <w:bookmarkEnd w:id="25"/>
      <w:r>
        <w:rPr>
          <w:rFonts w:hint="eastAsia" w:ascii="仿宋" w:hAnsi="仿宋" w:eastAsia="仿宋" w:cs="Times New Roman"/>
          <w:kern w:val="2"/>
          <w:sz w:val="32"/>
          <w:szCs w:val="32"/>
          <w:lang w:val="en-US" w:eastAsia="zh-CN" w:bidi="ar-SA"/>
        </w:rPr>
        <w:t>纳入创新创业服务中心2019年度部门决算编制范围的二级预算单位。</w:t>
      </w:r>
    </w:p>
    <w:p>
      <w:pPr>
        <w:pStyle w:val="2"/>
        <w:ind w:right="440"/>
        <w:jc w:val="right"/>
        <w:rPr>
          <w:rStyle w:val="25"/>
          <w:rFonts w:ascii="黑体" w:hAnsi="黑体" w:eastAsia="黑体"/>
          <w:b w:val="0"/>
          <w:bCs w:val="0"/>
        </w:rPr>
      </w:pPr>
      <w:bookmarkStart w:id="26" w:name="_Toc15396602"/>
      <w:bookmarkStart w:id="27"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6"/>
      <w:bookmarkEnd w:id="27"/>
    </w:p>
    <w:p/>
    <w:p>
      <w:pPr>
        <w:pStyle w:val="24"/>
        <w:numPr>
          <w:ilvl w:val="0"/>
          <w:numId w:val="1"/>
        </w:numPr>
        <w:spacing w:line="600" w:lineRule="exact"/>
        <w:ind w:firstLineChars="0"/>
        <w:outlineLvl w:val="1"/>
        <w:rPr>
          <w:rStyle w:val="26"/>
          <w:rFonts w:ascii="黑体" w:hAnsi="黑体" w:eastAsia="黑体"/>
          <w:b w:val="0"/>
        </w:rPr>
      </w:pPr>
      <w:bookmarkStart w:id="28" w:name="_Toc15396603"/>
      <w:bookmarkStart w:id="29"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8"/>
      <w:bookmarkEnd w:id="29"/>
    </w:p>
    <w:p>
      <w:pPr>
        <w:ind w:firstLine="640"/>
        <w:rPr>
          <w:rFonts w:ascii="仿宋" w:hAnsi="仿宋" w:eastAsia="仿宋"/>
          <w:color w:val="000000"/>
          <w:sz w:val="32"/>
          <w:szCs w:val="32"/>
        </w:rPr>
      </w:pPr>
      <w:r>
        <w:rPr>
          <w:rFonts w:hint="eastAsia" w:ascii="仿宋" w:hAnsi="仿宋" w:eastAsia="仿宋"/>
          <w:color w:val="000000"/>
          <w:sz w:val="32"/>
          <w:szCs w:val="32"/>
        </w:rPr>
        <w:t>2019年度收、支总计1356.43万元。与2018年相比，收、支总计各增加1264.13万元，增长136</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%。主要变动原因是承担专业资本集聚项目的实施。</w:t>
      </w:r>
    </w:p>
    <w:p>
      <w:pPr>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488950</wp:posOffset>
            </wp:positionH>
            <wp:positionV relativeFrom="paragraph">
              <wp:posOffset>29845</wp:posOffset>
            </wp:positionV>
            <wp:extent cx="4011295" cy="2129790"/>
            <wp:effectExtent l="4445" t="4445" r="22860" b="18415"/>
            <wp:wrapTopAndBottom/>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ind w:firstLine="640"/>
        <w:rPr>
          <w:rFonts w:ascii="仿宋" w:hAnsi="仿宋" w:eastAsia="仿宋"/>
          <w:color w:val="000000"/>
          <w:sz w:val="32"/>
          <w:szCs w:val="32"/>
        </w:rPr>
      </w:pPr>
      <w:r>
        <w:rPr>
          <w:rFonts w:hint="eastAsia" w:ascii="仿宋" w:hAnsi="仿宋" w:eastAsia="仿宋"/>
          <w:color w:val="000000"/>
          <w:sz w:val="32"/>
          <w:szCs w:val="32"/>
        </w:rPr>
        <w:t>（图1：收、支决算总计变动情况图）（柱状图）</w:t>
      </w:r>
    </w:p>
    <w:p>
      <w:pPr>
        <w:pStyle w:val="24"/>
        <w:numPr>
          <w:ilvl w:val="0"/>
          <w:numId w:val="1"/>
        </w:numPr>
        <w:spacing w:line="600" w:lineRule="exact"/>
        <w:ind w:firstLineChars="0"/>
        <w:outlineLvl w:val="1"/>
        <w:rPr>
          <w:rStyle w:val="26"/>
          <w:rFonts w:ascii="黑体" w:hAnsi="黑体" w:eastAsia="黑体"/>
          <w:b w:val="0"/>
        </w:rPr>
      </w:pPr>
      <w:bookmarkStart w:id="30" w:name="_Toc15377206"/>
      <w:bookmarkStart w:id="31"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30"/>
      <w:bookmarkEnd w:id="31"/>
    </w:p>
    <w:p>
      <w:pPr>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9年本年收入合计1193.22万元，其中：一般公共预算财政拨款收入1178.22万元，占99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；附属单位上缴收入0万元，占0%；其他收入15万元，占1%。</w:t>
      </w:r>
    </w:p>
    <w:p>
      <w:pPr>
        <w:ind w:firstLine="1609" w:firstLineChars="503"/>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513080</wp:posOffset>
            </wp:positionH>
            <wp:positionV relativeFrom="paragraph">
              <wp:posOffset>121920</wp:posOffset>
            </wp:positionV>
            <wp:extent cx="4199890" cy="2172335"/>
            <wp:effectExtent l="5080" t="4445" r="5080" b="13970"/>
            <wp:wrapTopAndBottom/>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000000"/>
          <w:sz w:val="32"/>
          <w:szCs w:val="32"/>
        </w:rPr>
        <w:t>（图2：收入决算结构图）（饼状图）</w:t>
      </w:r>
    </w:p>
    <w:p>
      <w:pPr>
        <w:spacing w:line="600" w:lineRule="exact"/>
        <w:ind w:firstLine="640" w:firstLineChars="200"/>
        <w:rPr>
          <w:rFonts w:ascii="仿宋_GB2312" w:eastAsia="仿宋_GB2312"/>
          <w:color w:val="FF0000"/>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32" w:name="_Toc15377207"/>
      <w:bookmarkStart w:id="33"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32"/>
      <w:bookmarkEnd w:id="33"/>
    </w:p>
    <w:p>
      <w:pPr>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9年本年支出合计1061.74万元，其中：基本支出63.54万元，占6</w:t>
      </w:r>
      <w:r>
        <w:rPr>
          <w:rFonts w:ascii="仿宋" w:hAnsi="仿宋" w:eastAsia="仿宋"/>
          <w:color w:val="000000"/>
          <w:sz w:val="32"/>
          <w:szCs w:val="32"/>
        </w:rPr>
        <w:t>%</w:t>
      </w:r>
      <w:r>
        <w:rPr>
          <w:rFonts w:hint="eastAsia" w:ascii="仿宋" w:hAnsi="仿宋" w:eastAsia="仿宋"/>
          <w:color w:val="000000"/>
          <w:sz w:val="32"/>
          <w:szCs w:val="32"/>
        </w:rPr>
        <w:t>；项目支出998.2万元，占94</w:t>
      </w:r>
      <w:r>
        <w:rPr>
          <w:rFonts w:ascii="仿宋" w:hAnsi="仿宋" w:eastAsia="仿宋"/>
          <w:color w:val="000000"/>
          <w:sz w:val="32"/>
          <w:szCs w:val="32"/>
        </w:rPr>
        <w:t>%</w:t>
      </w:r>
      <w:r>
        <w:rPr>
          <w:rFonts w:hint="eastAsia" w:ascii="仿宋" w:hAnsi="仿宋" w:eastAsia="仿宋"/>
          <w:color w:val="000000"/>
          <w:sz w:val="32"/>
          <w:szCs w:val="32"/>
        </w:rPr>
        <w:t>；上缴上级支出0万元，占0%；经营支出0万元，占0%；对附属单位补助支出0万元，占0%。</w:t>
      </w:r>
    </w:p>
    <w:p>
      <w:pPr>
        <w:ind w:firstLine="640"/>
        <w:rPr>
          <w:rFonts w:ascii="仿宋" w:hAnsi="仿宋" w:eastAsia="仿宋"/>
          <w:color w:val="000000"/>
          <w:sz w:val="32"/>
          <w:szCs w:val="32"/>
        </w:rPr>
      </w:pPr>
      <w:r>
        <w:drawing>
          <wp:inline distT="0" distB="0" distL="114300" distR="114300">
            <wp:extent cx="4390390" cy="2397760"/>
            <wp:effectExtent l="4445" t="4445" r="5715" b="1714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1280" w:firstLineChars="400"/>
        <w:rPr>
          <w:rFonts w:ascii="仿宋_GB2312" w:eastAsia="仿宋_GB2312"/>
          <w:color w:val="FF0000"/>
          <w:sz w:val="32"/>
          <w:szCs w:val="32"/>
        </w:rPr>
      </w:pPr>
      <w:r>
        <w:rPr>
          <w:rFonts w:hint="eastAsia" w:ascii="仿宋" w:hAnsi="仿宋" w:eastAsia="仿宋"/>
          <w:color w:val="000000"/>
          <w:sz w:val="32"/>
          <w:szCs w:val="32"/>
        </w:rPr>
        <w:t>（图3：支出决算结构图）（饼状图）</w:t>
      </w:r>
    </w:p>
    <w:p>
      <w:pPr>
        <w:spacing w:line="600" w:lineRule="exact"/>
        <w:ind w:firstLine="640" w:firstLineChars="200"/>
        <w:outlineLvl w:val="1"/>
        <w:rPr>
          <w:rStyle w:val="26"/>
          <w:rFonts w:ascii="黑体" w:hAnsi="黑体" w:eastAsia="黑体"/>
          <w:b w:val="0"/>
        </w:rPr>
      </w:pPr>
      <w:bookmarkStart w:id="34" w:name="_Toc15396606"/>
      <w:bookmarkStart w:id="35"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4"/>
      <w:bookmarkEnd w:id="35"/>
    </w:p>
    <w:p>
      <w:pPr>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1356.43</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8年相比，财政拨款收、支总计各增加</w:t>
      </w:r>
      <w:r>
        <w:rPr>
          <w:rFonts w:hint="eastAsia" w:ascii="仿宋" w:hAnsi="仿宋" w:eastAsia="仿宋"/>
          <w:color w:val="000000"/>
          <w:sz w:val="32"/>
          <w:szCs w:val="32"/>
          <w:lang w:val="en-US" w:eastAsia="zh-CN"/>
        </w:rPr>
        <w:t>1264.13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1369</w:t>
      </w:r>
      <w:r>
        <w:rPr>
          <w:rFonts w:ascii="仿宋" w:hAnsi="仿宋" w:eastAsia="仿宋"/>
          <w:color w:val="000000"/>
          <w:sz w:val="32"/>
          <w:szCs w:val="32"/>
        </w:rPr>
        <w:t>%</w:t>
      </w:r>
      <w:r>
        <w:rPr>
          <w:rFonts w:hint="eastAsia" w:ascii="仿宋" w:hAnsi="仿宋" w:eastAsia="仿宋"/>
          <w:color w:val="000000"/>
          <w:sz w:val="32"/>
          <w:szCs w:val="32"/>
        </w:rPr>
        <w:t>。主要变动原因是中心承担专业资本集聚项目的实施。</w:t>
      </w:r>
    </w:p>
    <w:p>
      <w:pPr>
        <w:ind w:firstLine="640"/>
        <w:rPr>
          <w:rFonts w:ascii="仿宋" w:hAnsi="仿宋" w:eastAsia="仿宋"/>
          <w:color w:val="000000"/>
          <w:sz w:val="32"/>
          <w:szCs w:val="32"/>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640"/>
        <w:rPr>
          <w:rFonts w:ascii="仿宋" w:hAnsi="仿宋" w:eastAsia="仿宋"/>
          <w:b/>
          <w:color w:val="00B050"/>
          <w:sz w:val="32"/>
          <w:szCs w:val="32"/>
        </w:rPr>
      </w:pPr>
      <w:r>
        <w:rPr>
          <w:rFonts w:hint="eastAsia" w:ascii="仿宋" w:hAnsi="仿宋" w:eastAsia="仿宋"/>
          <w:color w:val="000000"/>
          <w:sz w:val="32"/>
          <w:szCs w:val="32"/>
        </w:rPr>
        <w:t>（图4：财政拨款收、支决</w:t>
      </w:r>
      <w:r>
        <w:rPr>
          <w:rFonts w:hint="eastAsia" w:ascii="仿宋" w:hAnsi="仿宋" w:eastAsia="仿宋"/>
          <w:color w:val="000000" w:themeColor="text1"/>
          <w:sz w:val="32"/>
          <w:szCs w:val="32"/>
          <w14:textFill>
            <w14:solidFill>
              <w14:schemeClr w14:val="tx1"/>
            </w14:solidFill>
          </w14:textFill>
        </w:rPr>
        <w:t>算总计变动情况）（柱状图）</w:t>
      </w:r>
    </w:p>
    <w:p>
      <w:pPr>
        <w:spacing w:line="600" w:lineRule="exact"/>
        <w:ind w:firstLine="640" w:firstLineChars="200"/>
        <w:outlineLvl w:val="1"/>
        <w:rPr>
          <w:rStyle w:val="26"/>
          <w:rFonts w:ascii="黑体" w:hAnsi="黑体" w:eastAsia="黑体"/>
          <w:b w:val="0"/>
        </w:rPr>
      </w:pPr>
      <w:bookmarkStart w:id="36" w:name="_Toc15377209"/>
      <w:bookmarkStart w:id="37"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6"/>
      <w:bookmarkEnd w:id="37"/>
    </w:p>
    <w:p>
      <w:pPr>
        <w:spacing w:line="600" w:lineRule="exact"/>
        <w:ind w:firstLine="643" w:firstLineChars="200"/>
        <w:outlineLvl w:val="2"/>
        <w:rPr>
          <w:rFonts w:ascii="仿宋" w:hAnsi="仿宋" w:eastAsia="仿宋"/>
          <w:b/>
          <w:color w:val="000000"/>
          <w:sz w:val="32"/>
          <w:szCs w:val="32"/>
        </w:rPr>
      </w:pPr>
      <w:bookmarkStart w:id="38" w:name="_Toc15377210"/>
      <w:r>
        <w:rPr>
          <w:rFonts w:hint="eastAsia" w:ascii="仿宋" w:hAnsi="仿宋" w:eastAsia="仿宋"/>
          <w:b/>
          <w:color w:val="000000"/>
          <w:sz w:val="32"/>
          <w:szCs w:val="32"/>
        </w:rPr>
        <w:t>（一）一般公共预算财政拨款支出决算总体情况</w:t>
      </w:r>
      <w:bookmarkEnd w:id="38"/>
    </w:p>
    <w:p>
      <w:pPr>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958.78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%。与2018年相比，一般公共预算财政拨款增加</w:t>
      </w:r>
      <w:r>
        <w:rPr>
          <w:rFonts w:hint="eastAsia" w:ascii="仿宋" w:hAnsi="仿宋" w:eastAsia="仿宋"/>
          <w:color w:val="000000"/>
          <w:sz w:val="32"/>
          <w:szCs w:val="32"/>
          <w:lang w:val="en-US" w:eastAsia="zh-CN"/>
        </w:rPr>
        <w:t>892.03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1336</w:t>
      </w:r>
      <w:r>
        <w:rPr>
          <w:rFonts w:hint="eastAsia" w:ascii="仿宋" w:hAnsi="仿宋" w:eastAsia="仿宋"/>
          <w:color w:val="000000"/>
          <w:sz w:val="32"/>
          <w:szCs w:val="32"/>
        </w:rPr>
        <w:t>%。主要变动原因是中心承担专业资本集聚项目的实施。</w:t>
      </w:r>
    </w:p>
    <w:p>
      <w:pPr>
        <w:ind w:firstLine="640"/>
        <w:rPr>
          <w:rFonts w:ascii="仿宋" w:hAnsi="仿宋" w:eastAsia="仿宋"/>
          <w:color w:val="000000"/>
          <w:sz w:val="32"/>
          <w:szCs w:val="32"/>
        </w:rPr>
      </w:pPr>
      <w:r>
        <w:drawing>
          <wp:inline distT="0" distB="0" distL="114300" distR="114300">
            <wp:extent cx="4926965" cy="1855470"/>
            <wp:effectExtent l="4445" t="4445" r="21590" b="698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（图5：一般公共</w:t>
      </w:r>
      <w:r>
        <w:rPr>
          <w:rFonts w:hint="eastAsia" w:ascii="仿宋" w:hAnsi="仿宋" w:eastAsia="仿宋"/>
          <w:color w:val="000000" w:themeColor="text1"/>
          <w:sz w:val="32"/>
          <w:szCs w:val="32"/>
          <w14:textFill>
            <w14:solidFill>
              <w14:schemeClr w14:val="tx1"/>
            </w14:solidFill>
          </w14:textFill>
        </w:rPr>
        <w:t>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39" w:name="_Toc15377211"/>
      <w:r>
        <w:rPr>
          <w:rFonts w:hint="eastAsia" w:ascii="仿宋" w:hAnsi="仿宋" w:eastAsia="仿宋"/>
          <w:b/>
          <w:color w:val="000000"/>
          <w:sz w:val="32"/>
          <w:szCs w:val="32"/>
        </w:rPr>
        <w:t>（二）一般公共预算财政拨款支出决算结构情况</w:t>
      </w:r>
      <w:bookmarkEnd w:id="39"/>
    </w:p>
    <w:p>
      <w:pPr>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政拨款支出985.78万元，主要用于以下方面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支出78.25万元，占8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教育支出（类）0</w:t>
      </w:r>
      <w:r>
        <w:rPr>
          <w:rFonts w:hint="eastAsia" w:ascii="仿宋" w:hAnsi="仿宋" w:eastAsia="仿宋"/>
          <w:color w:val="000000" w:themeColor="text1"/>
          <w:sz w:val="32"/>
          <w:szCs w:val="32"/>
          <w14:textFill>
            <w14:solidFill>
              <w14:schemeClr w14:val="tx1"/>
            </w14:solidFill>
          </w14:textFill>
        </w:rPr>
        <w:t>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文化旅游体育与传媒（类）支出0万元，占0</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卫生健康支出0</w:t>
      </w:r>
      <w:r>
        <w:rPr>
          <w:rFonts w:hint="eastAsia" w:ascii="仿宋" w:hAnsi="仿宋" w:eastAsia="仿宋"/>
          <w:color w:val="000000" w:themeColor="text1"/>
          <w:sz w:val="32"/>
          <w:szCs w:val="32"/>
          <w14:textFill>
            <w14:solidFill>
              <w14:schemeClr w14:val="tx1"/>
            </w14:solidFill>
          </w14:textFill>
        </w:rPr>
        <w:t>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住房保障支出（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资源勘探信息支出（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880.5</w:t>
      </w:r>
      <w:r>
        <w:rPr>
          <w:rFonts w:hint="eastAsia" w:ascii="仿宋" w:hAnsi="仿宋" w:eastAsia="仿宋"/>
          <w:color w:val="000000"/>
          <w:sz w:val="32"/>
          <w:szCs w:val="32"/>
        </w:rPr>
        <w:t>3万元，占92%。</w:t>
      </w:r>
    </w:p>
    <w:p>
      <w:pPr>
        <w:ind w:firstLine="640"/>
        <w:rPr>
          <w:rFonts w:ascii="仿宋" w:hAnsi="仿宋" w:eastAsia="仿宋"/>
          <w:color w:val="000000"/>
          <w:sz w:val="32"/>
          <w:szCs w:val="32"/>
        </w:rPr>
      </w:pPr>
      <w:r>
        <w:rPr>
          <w:rFonts w:hint="eastAsia" w:ascii="仿宋" w:hAnsi="仿宋" w:eastAsia="仿宋"/>
          <w:color w:val="000000"/>
          <w:sz w:val="32"/>
          <w:szCs w:val="32"/>
        </w:rPr>
        <w:drawing>
          <wp:inline distT="0" distB="0" distL="114300" distR="114300">
            <wp:extent cx="4572000" cy="2743200"/>
            <wp:effectExtent l="4445" t="4445" r="14605" b="14605"/>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64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40" w:name="_Toc15377212"/>
      <w:r>
        <w:rPr>
          <w:rFonts w:hint="eastAsia" w:ascii="仿宋" w:hAnsi="仿宋" w:eastAsia="仿宋"/>
          <w:b/>
          <w:color w:val="000000"/>
          <w:sz w:val="32"/>
          <w:szCs w:val="32"/>
        </w:rPr>
        <w:t>（三）一般公共预算财政拨款支出决算具体情况</w:t>
      </w:r>
      <w:bookmarkEnd w:id="40"/>
    </w:p>
    <w:p>
      <w:pPr>
        <w:spacing w:line="600" w:lineRule="exact"/>
        <w:ind w:firstLine="643" w:firstLineChars="200"/>
        <w:outlineLvl w:val="2"/>
        <w:rPr>
          <w:rFonts w:ascii="仿宋" w:hAnsi="仿宋" w:eastAsia="仿宋"/>
          <w:sz w:val="32"/>
          <w:szCs w:val="32"/>
        </w:rPr>
      </w:pPr>
      <w:bookmarkStart w:id="41" w:name="_Toc15377444"/>
      <w:bookmarkStart w:id="42" w:name="_Toc15378460"/>
      <w:bookmarkStart w:id="43" w:name="_Toc15377213"/>
      <w:r>
        <w:rPr>
          <w:rFonts w:hint="eastAsia" w:ascii="仿宋" w:hAnsi="仿宋" w:eastAsia="仿宋"/>
          <w:b/>
          <w:sz w:val="32"/>
          <w:szCs w:val="32"/>
        </w:rPr>
        <w:t>2019年一般公共预算支出决算数为958.78万元</w:t>
      </w:r>
      <w:r>
        <w:rPr>
          <w:rFonts w:hint="eastAsia" w:ascii="仿宋" w:hAnsi="仿宋" w:eastAsia="仿宋"/>
          <w:sz w:val="32"/>
          <w:szCs w:val="32"/>
        </w:rPr>
        <w:t>，</w:t>
      </w:r>
      <w:r>
        <w:rPr>
          <w:rStyle w:val="15"/>
          <w:rFonts w:hint="eastAsia" w:ascii="仿宋" w:hAnsi="仿宋" w:eastAsia="仿宋"/>
          <w:bCs/>
          <w:sz w:val="32"/>
          <w:szCs w:val="32"/>
        </w:rPr>
        <w:t>完成预算8</w:t>
      </w:r>
      <w:r>
        <w:rPr>
          <w:rStyle w:val="15"/>
          <w:rFonts w:hint="eastAsia" w:ascii="仿宋" w:hAnsi="仿宋" w:eastAsia="仿宋"/>
          <w:bCs/>
          <w:sz w:val="32"/>
          <w:szCs w:val="32"/>
          <w:lang w:val="en-US" w:eastAsia="zh-CN"/>
        </w:rPr>
        <w:t>1</w:t>
      </w:r>
      <w:r>
        <w:rPr>
          <w:rStyle w:val="15"/>
          <w:rFonts w:ascii="仿宋" w:hAnsi="仿宋" w:eastAsia="仿宋"/>
          <w:bCs/>
          <w:sz w:val="32"/>
          <w:szCs w:val="32"/>
        </w:rPr>
        <w:t>%</w:t>
      </w:r>
      <w:r>
        <w:rPr>
          <w:rStyle w:val="15"/>
          <w:rFonts w:hint="eastAsia" w:ascii="仿宋" w:hAnsi="仿宋" w:eastAsia="仿宋"/>
          <w:bCs/>
          <w:sz w:val="32"/>
          <w:szCs w:val="32"/>
        </w:rPr>
        <w:t>。其中：</w:t>
      </w:r>
      <w:bookmarkEnd w:id="41"/>
      <w:bookmarkEnd w:id="42"/>
      <w:bookmarkEnd w:id="43"/>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一般公共服务（类）政府办公厅（室）及相关机构事务（款）其他政府办公厅（室）及相关机构事务支出（项）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支出决算为78.</w:t>
      </w:r>
      <w:r>
        <w:rPr>
          <w:rStyle w:val="15"/>
          <w:rFonts w:hint="eastAsia" w:ascii="仿宋" w:hAnsi="仿宋" w:eastAsia="仿宋"/>
          <w:b w:val="0"/>
          <w:bCs/>
          <w:color w:val="000000"/>
          <w:sz w:val="32"/>
          <w:szCs w:val="32"/>
          <w:lang w:val="en-US" w:eastAsia="zh-CN"/>
        </w:rPr>
        <w:t>25</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资源勘探信息等支出（类）支持中小企业发展和管理支出（款）科技型中小企业技术创新基金（项）：</w:t>
      </w:r>
      <w:r>
        <w:rPr>
          <w:rStyle w:val="15"/>
          <w:rFonts w:hint="eastAsia" w:ascii="仿宋" w:hAnsi="仿宋" w:eastAsia="仿宋"/>
          <w:b w:val="0"/>
          <w:bCs/>
          <w:color w:val="000000"/>
          <w:sz w:val="32"/>
          <w:szCs w:val="32"/>
        </w:rPr>
        <w:t>支出决算为880.53万元，完成预算8</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%，决算数小于预算数的主要原因是专业资本集聚项目工作内容还未实施完毕。</w:t>
      </w:r>
    </w:p>
    <w:p>
      <w:pPr>
        <w:tabs>
          <w:tab w:val="right" w:pos="8306"/>
        </w:tabs>
        <w:spacing w:line="600" w:lineRule="exact"/>
        <w:ind w:firstLine="640"/>
        <w:outlineLvl w:val="1"/>
        <w:rPr>
          <w:rStyle w:val="26"/>
        </w:rPr>
      </w:pPr>
      <w:bookmarkStart w:id="44" w:name="_Toc15396608"/>
      <w:bookmarkStart w:id="4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4"/>
      <w:bookmarkEnd w:id="45"/>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9年一般公共预算财政拨款基本支出63.54万元，其中：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49.28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14.26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6" w:name="_Toc15377215"/>
      <w:bookmarkStart w:id="47"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6"/>
      <w:bookmarkEnd w:id="47"/>
    </w:p>
    <w:p>
      <w:pPr>
        <w:spacing w:line="600" w:lineRule="exact"/>
        <w:ind w:firstLine="640"/>
        <w:outlineLvl w:val="2"/>
        <w:rPr>
          <w:rFonts w:ascii="仿宋" w:hAnsi="仿宋" w:eastAsia="仿宋"/>
          <w:b/>
          <w:color w:val="000000"/>
          <w:sz w:val="32"/>
          <w:szCs w:val="32"/>
        </w:rPr>
      </w:pPr>
      <w:bookmarkStart w:id="48" w:name="_Toc15377216"/>
      <w:r>
        <w:rPr>
          <w:rFonts w:hint="eastAsia" w:ascii="仿宋" w:hAnsi="仿宋" w:eastAsia="仿宋"/>
          <w:b/>
          <w:color w:val="000000"/>
          <w:sz w:val="32"/>
          <w:szCs w:val="32"/>
        </w:rPr>
        <w:t>（一）“三公”经费财政拨款支出决算总体情况说明</w:t>
      </w:r>
      <w:bookmarkEnd w:id="4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9年“三公”经费财政拨款支出决算为0.17万元，完成预算100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49" w:name="_Toc15377217"/>
      <w:r>
        <w:rPr>
          <w:rFonts w:hint="eastAsia" w:ascii="仿宋" w:hAnsi="仿宋" w:eastAsia="仿宋"/>
          <w:b/>
          <w:color w:val="000000"/>
          <w:sz w:val="32"/>
          <w:szCs w:val="32"/>
        </w:rPr>
        <w:t>（二）“三公”经费财政拨款支出决算具体情况说明</w:t>
      </w:r>
      <w:bookmarkEnd w:id="49"/>
    </w:p>
    <w:p>
      <w:pPr>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；公务接待费支出决算0.17万元，占100</w:t>
      </w:r>
      <w:r>
        <w:rPr>
          <w:rFonts w:ascii="仿宋" w:hAnsi="仿宋" w:eastAsia="仿宋"/>
          <w:color w:val="000000"/>
          <w:sz w:val="32"/>
          <w:szCs w:val="32"/>
        </w:rPr>
        <w:t>%</w:t>
      </w:r>
      <w:r>
        <w:rPr>
          <w:rFonts w:hint="eastAsia" w:ascii="仿宋" w:hAnsi="仿宋" w:eastAsia="仿宋"/>
          <w:color w:val="000000"/>
          <w:sz w:val="32"/>
          <w:szCs w:val="32"/>
        </w:rPr>
        <w:t>。具体情</w:t>
      </w:r>
      <w:r>
        <w:rPr>
          <w:rFonts w:hint="eastAsia" w:ascii="仿宋" w:hAnsi="仿宋" w:eastAsia="仿宋"/>
          <w:color w:val="000000" w:themeColor="text1"/>
          <w:sz w:val="32"/>
          <w:szCs w:val="32"/>
          <w14:textFill>
            <w14:solidFill>
              <w14:schemeClr w14:val="tx1"/>
            </w14:solidFill>
          </w14:textFill>
        </w:rPr>
        <w:t>况如下：</w:t>
      </w:r>
    </w:p>
    <w:p>
      <w:pPr>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inline distT="0" distB="0" distL="114300" distR="114300">
            <wp:extent cx="4572000" cy="2743200"/>
            <wp:effectExtent l="4445" t="4445" r="14605" b="14605"/>
            <wp:docPr id="17"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40"/>
        <w:rPr>
          <w:rFonts w:ascii="仿宋" w:hAnsi="仿宋" w:eastAsia="仿宋"/>
          <w:color w:val="000000"/>
          <w:sz w:val="32"/>
          <w:szCs w:val="32"/>
        </w:rPr>
      </w:pPr>
      <w:r>
        <w:rPr>
          <w:rFonts w:hint="eastAsia" w:ascii="仿宋" w:hAnsi="仿宋" w:eastAsia="仿宋"/>
          <w:color w:val="000000" w:themeColor="text1"/>
          <w:sz w:val="32"/>
          <w:szCs w:val="32"/>
          <w14:textFill>
            <w14:solidFill>
              <w14:schemeClr w14:val="tx1"/>
            </w14:solidFill>
          </w14:textFill>
        </w:rPr>
        <w:t>（图7：“三公</w:t>
      </w:r>
      <w:r>
        <w:rPr>
          <w:rFonts w:hint="eastAsia" w:ascii="仿宋" w:hAnsi="仿宋" w:eastAsia="仿宋"/>
          <w:color w:val="000000"/>
          <w:sz w:val="32"/>
          <w:szCs w:val="32"/>
        </w:rPr>
        <w:t>”经费财政拨款支出结构）（饼状图）</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月底，单位共有公务用车0辆，其中：主要领导干部用车0辆、机要通信用车0辆、应急保障用车0辆、 执法执勤用车0辆。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0.17万元，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8年减少0.97万元，下降571</w:t>
      </w:r>
      <w:r>
        <w:rPr>
          <w:rFonts w:ascii="仿宋_GB2312" w:eastAsia="仿宋_GB2312"/>
          <w:color w:val="000000"/>
          <w:sz w:val="32"/>
          <w:szCs w:val="32"/>
        </w:rPr>
        <w:t>%</w:t>
      </w:r>
      <w:r>
        <w:rPr>
          <w:rFonts w:hint="eastAsia" w:ascii="仿宋_GB2312" w:eastAsia="仿宋_GB2312"/>
          <w:color w:val="000000"/>
          <w:sz w:val="32"/>
          <w:szCs w:val="32"/>
        </w:rPr>
        <w:t>。主要原因为厉行节约、严控开支，其中：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国内公务接待支出0.17</w:t>
      </w:r>
      <w:r>
        <w:rPr>
          <w:rFonts w:hint="eastAsia" w:ascii="仿宋_GB2312" w:eastAsia="仿宋_GB2312"/>
          <w:color w:val="000000"/>
          <w:sz w:val="32"/>
          <w:szCs w:val="32"/>
        </w:rPr>
        <w:t>万元，主要用于开展业务活动开支的用餐费。国内公务接待3批次，15人次（不包括陪同人员），共计支出0.17万元，支出决算比</w:t>
      </w:r>
      <w:r>
        <w:rPr>
          <w:rFonts w:ascii="仿宋_GB2312" w:eastAsia="仿宋_GB2312"/>
          <w:color w:val="000000"/>
          <w:sz w:val="32"/>
          <w:szCs w:val="32"/>
        </w:rPr>
        <w:t>201</w:t>
      </w:r>
      <w:r>
        <w:rPr>
          <w:rFonts w:hint="eastAsia" w:ascii="仿宋_GB2312" w:eastAsia="仿宋_GB2312"/>
          <w:color w:val="000000"/>
          <w:sz w:val="32"/>
          <w:szCs w:val="32"/>
        </w:rPr>
        <w:t>8年减少0.97万元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下降571</w:t>
      </w:r>
      <w:r>
        <w:rPr>
          <w:rFonts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rPr>
        <w:t>具体内容包括：成都航天科创科技项目0.08元；成都可可阿尔金融服务项目0.04元等。</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，外事接待0批次，0人，共计支出0万元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支出决算与2018年持平</w:t>
      </w:r>
      <w:r>
        <w:rPr>
          <w:rFonts w:hint="eastAsia" w:ascii="仿宋_GB2312" w:eastAsia="仿宋_GB2312"/>
          <w:color w:val="000000" w:themeColor="text1"/>
          <w:sz w:val="32"/>
          <w:szCs w:val="32"/>
          <w14:textFill>
            <w14:solidFill>
              <w14:schemeClr w14:val="tx1"/>
            </w14:solidFill>
          </w14:textFill>
        </w:rPr>
        <w:t>。</w:t>
      </w:r>
    </w:p>
    <w:p>
      <w:pPr>
        <w:spacing w:line="600" w:lineRule="exact"/>
        <w:ind w:firstLine="640"/>
        <w:outlineLvl w:val="1"/>
        <w:rPr>
          <w:rStyle w:val="26"/>
          <w:rFonts w:ascii="黑体" w:hAnsi="黑体" w:eastAsia="黑体"/>
        </w:rPr>
      </w:pPr>
      <w:bookmarkStart w:id="50" w:name="_Toc15396610"/>
      <w:bookmarkStart w:id="51" w:name="_Toc15377218"/>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50"/>
      <w:bookmarkEnd w:id="5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pPr>
        <w:numPr>
          <w:ilvl w:val="0"/>
          <w:numId w:val="2"/>
        </w:numPr>
        <w:spacing w:line="600" w:lineRule="exact"/>
        <w:ind w:firstLine="640"/>
        <w:outlineLvl w:val="1"/>
        <w:rPr>
          <w:rStyle w:val="26"/>
          <w:rFonts w:ascii="黑体" w:hAnsi="黑体" w:eastAsia="黑体"/>
          <w:b w:val="0"/>
        </w:rPr>
      </w:pPr>
      <w:bookmarkStart w:id="52" w:name="_Toc15377219"/>
      <w:bookmarkStart w:id="53" w:name="_Toc15396611"/>
      <w:r>
        <w:rPr>
          <w:rStyle w:val="26"/>
          <w:rFonts w:hint="eastAsia" w:ascii="黑体" w:hAnsi="黑体" w:eastAsia="黑体"/>
          <w:b w:val="0"/>
        </w:rPr>
        <w:t>国有资本经营预算支出决算情况说明</w:t>
      </w:r>
      <w:bookmarkEnd w:id="52"/>
      <w:bookmarkEnd w:id="5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600" w:lineRule="exact"/>
        <w:ind w:firstLine="640" w:firstLineChars="200"/>
        <w:outlineLvl w:val="1"/>
        <w:rPr>
          <w:rStyle w:val="26"/>
          <w:rFonts w:ascii="黑体" w:hAnsi="黑体" w:eastAsia="黑体"/>
        </w:rPr>
      </w:pPr>
      <w:bookmarkStart w:id="54" w:name="_Toc15396612"/>
      <w:bookmarkStart w:id="55"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4"/>
      <w:bookmarkEnd w:id="55"/>
    </w:p>
    <w:p>
      <w:pPr>
        <w:spacing w:line="600" w:lineRule="exact"/>
        <w:ind w:firstLine="643" w:firstLineChars="200"/>
        <w:outlineLvl w:val="2"/>
        <w:rPr>
          <w:rFonts w:ascii="仿宋" w:hAnsi="仿宋" w:eastAsia="仿宋"/>
          <w:color w:val="000000"/>
          <w:sz w:val="32"/>
          <w:szCs w:val="32"/>
        </w:rPr>
      </w:pPr>
      <w:bookmarkStart w:id="56" w:name="_Toc15377222"/>
      <w:r>
        <w:rPr>
          <w:rFonts w:hint="eastAsia" w:ascii="仿宋" w:hAnsi="仿宋" w:eastAsia="仿宋"/>
          <w:b/>
          <w:color w:val="000000"/>
          <w:sz w:val="32"/>
          <w:szCs w:val="32"/>
        </w:rPr>
        <w:t>（一）机关运行经费支出情况</w:t>
      </w:r>
      <w:bookmarkEnd w:id="56"/>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9年，创新创业服务中心运行经费支出0万元，与</w:t>
      </w:r>
      <w:r>
        <w:rPr>
          <w:rFonts w:ascii="仿宋_GB2312" w:eastAsia="仿宋_GB2312"/>
          <w:color w:val="000000"/>
          <w:sz w:val="32"/>
          <w:szCs w:val="32"/>
        </w:rPr>
        <w:t>201</w:t>
      </w:r>
      <w:r>
        <w:rPr>
          <w:rFonts w:hint="eastAsia" w:ascii="仿宋_GB2312" w:eastAsia="仿宋_GB2312"/>
          <w:color w:val="000000"/>
          <w:sz w:val="32"/>
          <w:szCs w:val="32"/>
        </w:rPr>
        <w:t>8年持平。</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7" w:name="_Toc15377223"/>
      <w:r>
        <w:rPr>
          <w:rFonts w:hint="eastAsia" w:ascii="仿宋" w:hAnsi="仿宋" w:eastAsia="仿宋"/>
          <w:b/>
          <w:color w:val="000000"/>
          <w:sz w:val="32"/>
          <w:szCs w:val="32"/>
        </w:rPr>
        <w:t>（二）政府采购支出情况</w:t>
      </w:r>
      <w:bookmarkEnd w:id="57"/>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9年，创新创业服务中心政府采购支出总额0万元，其中：政府采购货物支出0万元、政府采购工程支出0万元、政府采购服务支出0万元。授予中小企业合同金额0万元，占政府采购支出总额的0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8" w:name="_Toc15377224"/>
      <w:r>
        <w:rPr>
          <w:rFonts w:hint="eastAsia" w:ascii="仿宋" w:hAnsi="仿宋" w:eastAsia="仿宋"/>
          <w:b/>
          <w:color w:val="000000"/>
          <w:sz w:val="32"/>
          <w:szCs w:val="32"/>
        </w:rPr>
        <w:t>（三）国有资产占有使用情况</w:t>
      </w:r>
      <w:bookmarkEnd w:id="58"/>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日，创新创业服务中心共有车辆0辆，其中：主要领导干部用车0辆、机要通信用车0辆、应急保障用车0辆、其他用车0辆，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万元以上通用设备0台（套），单价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国家级孵化器拓展区场地租赁、科技孵化园1-4号楼屋面整体维修、乐山中科创新创业科技信息中心运行、农业科技园一期厂房电气消防改造工程、农业科技园一期消防设施改造系统项目开展了预算事前绩效评估，对5个项目编制了绩效目标，预算执行过程中，选取5个项目开展绩效监控，年终执行完毕后，对5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中心切实按照管委会下达的2019年度目标任务要求，积极组织开展各类创新创业服务活动，强化国家级科技企业孵化器平台建设，促进孵化企业的高新技术成果孵化和转化，圆满完成各项目标任务，整体绩效良好。</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本部门在2019年度部门决算中反映“国家级孵化器拓展区场地租赁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“科技孵化园1-4号楼屋面整体维修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“农业科技园一期消防设施改造系统”“专业资本集聚补助”“农科园一期零星维修维护”等5个项目绩效目标实际完成情况。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国家级孵化器拓展区场地租赁项目绩效目标完成情况综述。项目全年预算数46.65万元，执行数为46.65万元，完成预算的100%。通过项目实施，进一步提升我中心国家级孵化器的场地条件和对外形象，推动孵化载体和孵化服务平台建设，促进园区孵化企业的高新技术成果孵化和转化，整体绩效良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科技孵化园1-4号楼屋面整体维修项目绩效目标完成情况综述。项目全年预算数25.81万元，执行数为25.81万元，完成预算的100%。通过项目实施，保障科技孵化园的正常安全的运行，提升区双创特色载体建设的整体水平。发现的主要问题：</w:t>
      </w:r>
      <w:r>
        <w:rPr>
          <w:rFonts w:hint="eastAsia" w:ascii="仿宋_GB2312" w:hAnsi="仿宋" w:eastAsia="仿宋_GB2312"/>
          <w:sz w:val="32"/>
        </w:rPr>
        <w:t>因多种因素造成工程执行进度较慢</w:t>
      </w:r>
      <w:r>
        <w:rPr>
          <w:rFonts w:hint="eastAsia" w:ascii="仿宋_GB2312" w:hAnsi="仿宋_GB2312" w:eastAsia="仿宋_GB2312" w:cs="仿宋_GB2312"/>
          <w:sz w:val="32"/>
          <w:szCs w:val="32"/>
        </w:rPr>
        <w:t>。下一步改进措施：</w:t>
      </w:r>
      <w:r>
        <w:rPr>
          <w:rFonts w:hint="eastAsia" w:ascii="仿宋_GB2312" w:hAnsi="仿宋" w:eastAsia="仿宋_GB2312"/>
          <w:sz w:val="32"/>
        </w:rPr>
        <w:t>加强项目实施过程的规范化管理。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农业科技园一期消防设施改造系统项目绩效目标完成情况综述。项目全年预算数70.1万元，执行数为70.1万元，完成预算的100%。通过项目实施，保障科技孵化园的正常安全运行，夯实了国家级科技企业孵化器发展基础，整体绩效良好。发现的主要问题：</w:t>
      </w:r>
      <w:r>
        <w:rPr>
          <w:rFonts w:hint="eastAsia" w:ascii="仿宋_GB2312" w:hAnsi="仿宋" w:eastAsia="仿宋_GB2312"/>
          <w:sz w:val="32"/>
        </w:rPr>
        <w:t>因多种因素造成工程执行进度缓慢</w:t>
      </w:r>
      <w:r>
        <w:rPr>
          <w:rFonts w:hint="eastAsia" w:ascii="仿宋_GB2312" w:hAnsi="仿宋_GB2312" w:eastAsia="仿宋_GB2312" w:cs="仿宋_GB2312"/>
          <w:sz w:val="32"/>
          <w:szCs w:val="32"/>
        </w:rPr>
        <w:t>。下一步改进措施：</w:t>
      </w:r>
      <w:r>
        <w:rPr>
          <w:rFonts w:hint="eastAsia" w:ascii="仿宋_GB2312" w:hAnsi="仿宋" w:eastAsia="仿宋_GB2312"/>
          <w:sz w:val="32"/>
        </w:rPr>
        <w:t>加强项目实施过程的规范化管理。</w:t>
      </w:r>
    </w:p>
    <w:p>
      <w:pPr>
        <w:spacing w:line="58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4）专业资本集聚补助项目绩效目标完成情况综述。项目全年预算数950万元，执行数为730.56万元，完成预算的77%。通过项目实施，对全区各双创特色载体的统筹规划和支持力度，大力整合集聚场地、人才、项目、公共平台、投融资机构等双创资源要素，构建起政府、国企及民营资本互为补充、综合型孵化载体和专业型孵化载体协调发展的“大孵化”体系。发现的主要问题：</w:t>
      </w:r>
      <w:r>
        <w:rPr>
          <w:rFonts w:hint="eastAsia" w:ascii="仿宋_GB2312" w:hAnsi="仿宋" w:eastAsia="仿宋_GB2312"/>
          <w:sz w:val="32"/>
        </w:rPr>
        <w:t>因多种因素造成</w:t>
      </w:r>
      <w:r>
        <w:rPr>
          <w:rFonts w:hint="eastAsia" w:ascii="仿宋_GB2312" w:hAnsi="仿宋_GB2312" w:eastAsia="仿宋_GB2312" w:cs="仿宋_GB2312"/>
          <w:sz w:val="32"/>
          <w:szCs w:val="32"/>
        </w:rPr>
        <w:t>项目工作内容实施进度较慢。下一步改进措施：加快相关项目工作推进力度。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农科园一期维修维护目标完成情况综述。项目全年预算数7.41万元，执行数为7.41万元，完成预算的100%。通过项目实施，保障科技孵化园的正常安全的运行，促进园区孵化企业的高新技术成果孵化，整体绩效良好。发现的主要问题：</w:t>
      </w:r>
      <w:r>
        <w:rPr>
          <w:rFonts w:hint="eastAsia" w:ascii="仿宋_GB2312" w:hAnsi="仿宋" w:eastAsia="仿宋_GB2312"/>
          <w:sz w:val="32"/>
        </w:rPr>
        <w:t>因多种因素造成设计方案制定、预算编制、工程结算等执行进度较慢</w:t>
      </w:r>
      <w:r>
        <w:rPr>
          <w:rFonts w:hint="eastAsia" w:ascii="仿宋_GB2312" w:hAnsi="仿宋_GB2312" w:eastAsia="仿宋_GB2312" w:cs="仿宋_GB2312"/>
          <w:sz w:val="32"/>
          <w:szCs w:val="32"/>
        </w:rPr>
        <w:t>。下一步改进措施：</w:t>
      </w:r>
      <w:r>
        <w:rPr>
          <w:rFonts w:hint="eastAsia" w:ascii="仿宋_GB2312" w:hAnsi="仿宋" w:eastAsia="仿宋_GB2312"/>
          <w:sz w:val="32"/>
        </w:rPr>
        <w:t>加强项目实施过程的规范化管理，特别是工程类项目加强与高新投公司的沟通工作。</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国家级孵化器拓展区场地租赁</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乐山高新技术产业开发区创新创业服务中心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46.65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46.65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46.65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46.65</w:t>
            </w:r>
          </w:p>
        </w:tc>
      </w:tr>
      <w:tr>
        <w:tblPrEx>
          <w:tblCellMar>
            <w:top w:w="0" w:type="dxa"/>
            <w:left w:w="0" w:type="dxa"/>
            <w:bottom w:w="0" w:type="dxa"/>
            <w:right w:w="0" w:type="dxa"/>
          </w:tblCellMar>
        </w:tblPrEx>
        <w:trPr>
          <w:trHeight w:val="117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60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完成约2430平方米场地租赁，吸纳孵化企业10家以上入驻，完善场地使用管理机制。</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完成约2430平方米场地租赁，吸纳孵化企业10家以上入驻，完善场地使用管理机制。</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47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租赁场地面积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约2430平方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2429.82平方</w:t>
            </w:r>
          </w:p>
        </w:tc>
      </w:tr>
      <w:tr>
        <w:tblPrEx>
          <w:tblCellMar>
            <w:top w:w="0" w:type="dxa"/>
            <w:left w:w="0" w:type="dxa"/>
            <w:bottom w:w="0" w:type="dxa"/>
            <w:right w:w="0" w:type="dxa"/>
          </w:tblCellMar>
        </w:tblPrEx>
        <w:trPr>
          <w:trHeight w:val="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新增孵化企业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≥10家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≥10家</w:t>
            </w:r>
          </w:p>
        </w:tc>
      </w:tr>
      <w:tr>
        <w:tblPrEx>
          <w:tblCellMar>
            <w:top w:w="0" w:type="dxa"/>
            <w:left w:w="0" w:type="dxa"/>
            <w:bottom w:w="0" w:type="dxa"/>
            <w:right w:w="0" w:type="dxa"/>
          </w:tblCellMar>
        </w:tblPrEx>
        <w:trPr>
          <w:trHeight w:val="43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场地入驻率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≥90%</w:t>
            </w:r>
          </w:p>
        </w:tc>
      </w:tr>
      <w:tr>
        <w:tblPrEx>
          <w:tblCellMar>
            <w:top w:w="0" w:type="dxa"/>
            <w:left w:w="0" w:type="dxa"/>
            <w:bottom w:w="0" w:type="dxa"/>
            <w:right w:w="0" w:type="dxa"/>
          </w:tblCellMar>
        </w:tblPrEx>
        <w:trPr>
          <w:trHeight w:val="7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实现年营业收入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≥800万元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 xml:space="preserve">≥800万元 </w:t>
            </w:r>
          </w:p>
        </w:tc>
      </w:tr>
      <w:tr>
        <w:tblPrEx>
          <w:tblCellMar>
            <w:top w:w="0" w:type="dxa"/>
            <w:left w:w="0" w:type="dxa"/>
            <w:bottom w:w="0" w:type="dxa"/>
            <w:right w:w="0" w:type="dxa"/>
          </w:tblCellMar>
        </w:tblPrEx>
        <w:trPr>
          <w:trHeight w:val="36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投资控制率（实际财政投入/计划财政投入）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100%</w:t>
            </w:r>
          </w:p>
        </w:tc>
      </w:tr>
      <w:tr>
        <w:tblPrEx>
          <w:tblCellMar>
            <w:top w:w="0" w:type="dxa"/>
            <w:left w:w="0" w:type="dxa"/>
            <w:bottom w:w="0" w:type="dxa"/>
            <w:right w:w="0" w:type="dxa"/>
          </w:tblCellMar>
        </w:tblPrEx>
        <w:trPr>
          <w:trHeight w:val="64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创业带动就业人数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≥70人</w:t>
            </w:r>
          </w:p>
        </w:tc>
      </w:tr>
      <w:tr>
        <w:tblPrEx>
          <w:tblCellMar>
            <w:top w:w="0" w:type="dxa"/>
            <w:left w:w="0" w:type="dxa"/>
            <w:bottom w:w="0" w:type="dxa"/>
            <w:right w:w="0" w:type="dxa"/>
          </w:tblCellMar>
        </w:tblPrEx>
        <w:trPr>
          <w:trHeight w:val="76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项目效益</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项目持续发挥作用的期限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≥3年</w:t>
            </w:r>
          </w:p>
        </w:tc>
      </w:tr>
      <w:tr>
        <w:tblPrEx>
          <w:tblCellMar>
            <w:top w:w="0" w:type="dxa"/>
            <w:left w:w="0" w:type="dxa"/>
            <w:bottom w:w="0" w:type="dxa"/>
            <w:right w:w="0" w:type="dxa"/>
          </w:tblCellMar>
        </w:tblPrEx>
        <w:trPr>
          <w:trHeight w:val="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≥95%</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科技孵化园1-4号楼屋面整体维修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乐山高新技术产业开发区创新创业服务中心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25.81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25.81</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25.81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25.81</w:t>
            </w:r>
          </w:p>
        </w:tc>
      </w:tr>
      <w:tr>
        <w:tblPrEx>
          <w:tblCellMar>
            <w:top w:w="0" w:type="dxa"/>
            <w:left w:w="0" w:type="dxa"/>
            <w:bottom w:w="0" w:type="dxa"/>
            <w:right w:w="0" w:type="dxa"/>
          </w:tblCellMar>
        </w:tblPrEx>
        <w:trPr>
          <w:trHeight w:val="117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60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完成科技孵化园1-4号楼屋面彩钢瓦更换，厂房的完成工程审计结算，正常使用。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完成科技孵化园1-4号楼屋面彩钢瓦更换，厂房的完成工程审计结算，正常使用。</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47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更换彩钢瓦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r>
      <w:tr>
        <w:tblPrEx>
          <w:tblCellMar>
            <w:top w:w="0" w:type="dxa"/>
            <w:left w:w="0" w:type="dxa"/>
            <w:bottom w:w="0" w:type="dxa"/>
            <w:right w:w="0" w:type="dxa"/>
          </w:tblCellMar>
        </w:tblPrEx>
        <w:trPr>
          <w:trHeight w:val="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更换屋脊瓦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r>
      <w:tr>
        <w:tblPrEx>
          <w:tblCellMar>
            <w:top w:w="0" w:type="dxa"/>
            <w:left w:w="0" w:type="dxa"/>
            <w:bottom w:w="0" w:type="dxa"/>
            <w:right w:w="0" w:type="dxa"/>
          </w:tblCellMar>
        </w:tblPrEx>
        <w:trPr>
          <w:trHeight w:val="43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清理岗天沟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r>
      <w:tr>
        <w:tblPrEx>
          <w:tblCellMar>
            <w:top w:w="0" w:type="dxa"/>
            <w:left w:w="0" w:type="dxa"/>
            <w:bottom w:w="0" w:type="dxa"/>
            <w:right w:w="0" w:type="dxa"/>
          </w:tblCellMar>
        </w:tblPrEx>
        <w:trPr>
          <w:trHeight w:val="7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实现年营业收入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≥3000万元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 xml:space="preserve">≥3000万元 </w:t>
            </w:r>
          </w:p>
        </w:tc>
      </w:tr>
      <w:tr>
        <w:tblPrEx>
          <w:tblCellMar>
            <w:top w:w="0" w:type="dxa"/>
            <w:left w:w="0" w:type="dxa"/>
            <w:bottom w:w="0" w:type="dxa"/>
            <w:right w:w="0" w:type="dxa"/>
          </w:tblCellMar>
        </w:tblPrEx>
        <w:trPr>
          <w:trHeight w:val="36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投资控制率（实际财政投入/计划财政投入）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100%</w:t>
            </w:r>
          </w:p>
        </w:tc>
      </w:tr>
      <w:tr>
        <w:tblPrEx>
          <w:tblCellMar>
            <w:top w:w="0" w:type="dxa"/>
            <w:left w:w="0" w:type="dxa"/>
            <w:bottom w:w="0" w:type="dxa"/>
            <w:right w:w="0" w:type="dxa"/>
          </w:tblCellMar>
        </w:tblPrEx>
        <w:trPr>
          <w:trHeight w:val="64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改善企业发展的外环境，确保生产经营安全进行。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大幅提升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大幅提升</w:t>
            </w:r>
          </w:p>
        </w:tc>
      </w:tr>
      <w:tr>
        <w:tblPrEx>
          <w:tblCellMar>
            <w:top w:w="0" w:type="dxa"/>
            <w:left w:w="0" w:type="dxa"/>
            <w:bottom w:w="0" w:type="dxa"/>
            <w:right w:w="0" w:type="dxa"/>
          </w:tblCellMar>
        </w:tblPrEx>
        <w:trPr>
          <w:trHeight w:val="76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项目效益</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项目持续发挥作用的期限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≥5年</w:t>
            </w:r>
          </w:p>
        </w:tc>
      </w:tr>
      <w:tr>
        <w:tblPrEx>
          <w:tblCellMar>
            <w:top w:w="0" w:type="dxa"/>
            <w:left w:w="0" w:type="dxa"/>
            <w:bottom w:w="0" w:type="dxa"/>
            <w:right w:w="0" w:type="dxa"/>
          </w:tblCellMar>
        </w:tblPrEx>
        <w:trPr>
          <w:trHeight w:val="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≥95%</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农业科技园一期消防设施改造系统</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乐山高新技术产业开发区创新创业服务中心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70.1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70.1</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70.1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70.1</w:t>
            </w:r>
          </w:p>
        </w:tc>
      </w:tr>
      <w:tr>
        <w:tblPrEx>
          <w:tblCellMar>
            <w:top w:w="0" w:type="dxa"/>
            <w:left w:w="0" w:type="dxa"/>
            <w:bottom w:w="0" w:type="dxa"/>
            <w:right w:w="0" w:type="dxa"/>
          </w:tblCellMar>
        </w:tblPrEx>
        <w:trPr>
          <w:trHeight w:val="117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60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科技孵化园厂房消防系统设施完成工程审计结算。</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科技孵化园厂房消防系统设施完成工程审计结算。</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47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新建消防蓄水池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1个</w:t>
            </w:r>
          </w:p>
        </w:tc>
      </w:tr>
      <w:tr>
        <w:tblPrEx>
          <w:tblCellMar>
            <w:top w:w="0" w:type="dxa"/>
            <w:left w:w="0" w:type="dxa"/>
            <w:bottom w:w="0" w:type="dxa"/>
            <w:right w:w="0" w:type="dxa"/>
          </w:tblCellMar>
        </w:tblPrEx>
        <w:trPr>
          <w:trHeight w:val="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泵房</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1个</w:t>
            </w:r>
          </w:p>
        </w:tc>
      </w:tr>
      <w:tr>
        <w:tblPrEx>
          <w:tblCellMar>
            <w:top w:w="0" w:type="dxa"/>
            <w:left w:w="0" w:type="dxa"/>
            <w:bottom w:w="0" w:type="dxa"/>
            <w:right w:w="0" w:type="dxa"/>
          </w:tblCellMar>
        </w:tblPrEx>
        <w:trPr>
          <w:trHeight w:val="43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室内消火栓系统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1套</w:t>
            </w:r>
          </w:p>
        </w:tc>
      </w:tr>
      <w:tr>
        <w:tblPrEx>
          <w:tblCellMar>
            <w:top w:w="0" w:type="dxa"/>
            <w:left w:w="0" w:type="dxa"/>
            <w:bottom w:w="0" w:type="dxa"/>
            <w:right w:w="0" w:type="dxa"/>
          </w:tblCellMar>
        </w:tblPrEx>
        <w:trPr>
          <w:trHeight w:val="43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工程验收合格率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≥95%</w:t>
            </w:r>
          </w:p>
        </w:tc>
      </w:tr>
      <w:tr>
        <w:tblPrEx>
          <w:tblCellMar>
            <w:top w:w="0" w:type="dxa"/>
            <w:left w:w="0" w:type="dxa"/>
            <w:bottom w:w="0" w:type="dxa"/>
            <w:right w:w="0" w:type="dxa"/>
          </w:tblCellMar>
        </w:tblPrEx>
        <w:trPr>
          <w:trHeight w:val="7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实现年营业收入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≥800万元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 xml:space="preserve">≥800万元 </w:t>
            </w:r>
          </w:p>
        </w:tc>
      </w:tr>
      <w:tr>
        <w:tblPrEx>
          <w:tblCellMar>
            <w:top w:w="0" w:type="dxa"/>
            <w:left w:w="0" w:type="dxa"/>
            <w:bottom w:w="0" w:type="dxa"/>
            <w:right w:w="0" w:type="dxa"/>
          </w:tblCellMar>
        </w:tblPrEx>
        <w:trPr>
          <w:trHeight w:val="36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控制在合同价格之内</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控制在合同价格之内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控制在合同价格之内</w:t>
            </w:r>
          </w:p>
        </w:tc>
      </w:tr>
      <w:tr>
        <w:tblPrEx>
          <w:tblCellMar>
            <w:top w:w="0" w:type="dxa"/>
            <w:left w:w="0" w:type="dxa"/>
            <w:bottom w:w="0" w:type="dxa"/>
            <w:right w:w="0" w:type="dxa"/>
          </w:tblCellMar>
        </w:tblPrEx>
        <w:trPr>
          <w:trHeight w:val="64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改善企业发展的外环境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大幅提升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大幅提升</w:t>
            </w:r>
          </w:p>
        </w:tc>
      </w:tr>
      <w:tr>
        <w:tblPrEx>
          <w:tblCellMar>
            <w:top w:w="0" w:type="dxa"/>
            <w:left w:w="0" w:type="dxa"/>
            <w:bottom w:w="0" w:type="dxa"/>
            <w:right w:w="0" w:type="dxa"/>
          </w:tblCellMar>
        </w:tblPrEx>
        <w:trPr>
          <w:trHeight w:val="76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项目效益</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项目持续发挥作用的期限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≥5年</w:t>
            </w:r>
          </w:p>
        </w:tc>
      </w:tr>
      <w:tr>
        <w:tblPrEx>
          <w:tblCellMar>
            <w:top w:w="0" w:type="dxa"/>
            <w:left w:w="0" w:type="dxa"/>
            <w:bottom w:w="0" w:type="dxa"/>
            <w:right w:w="0" w:type="dxa"/>
          </w:tblCellMar>
        </w:tblPrEx>
        <w:trPr>
          <w:trHeight w:val="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≥95%</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专业资本集聚补助</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乐山高新技术产业开发区创新创业服务中心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730.56</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730.56</w:t>
            </w:r>
          </w:p>
        </w:tc>
      </w:tr>
      <w:tr>
        <w:tblPrEx>
          <w:tblCellMar>
            <w:top w:w="0" w:type="dxa"/>
            <w:left w:w="0" w:type="dxa"/>
            <w:bottom w:w="0" w:type="dxa"/>
            <w:right w:w="0" w:type="dxa"/>
          </w:tblCellMar>
        </w:tblPrEx>
        <w:trPr>
          <w:trHeight w:val="117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60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对全区各双创特色载体的统筹规划和支持力度，大力整合集聚场地、人才、项目、公共平台、投融资机构等双创资源要素，构建起政府、国企及民营资本互为补充、综合型孵化载体和专业型孵化载体协调发展的“大孵化”体系。</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园区新增孵化面积约10万平方米，新增国、省级双创孵化载体4个，其中工信部认定国家级小微企业创新创业示范基地1个、科技部认定国家级星创天地1个、省科技厅认定省级科技企业孵化器1个、省科技厅认定省级众创空间1个。新增入孵企业50家；新增孵化毕业企业15家。</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47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新增公共技术服务平台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≥23个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≥23个</w:t>
            </w:r>
          </w:p>
        </w:tc>
      </w:tr>
      <w:tr>
        <w:tblPrEx>
          <w:tblCellMar>
            <w:top w:w="0" w:type="dxa"/>
            <w:left w:w="0" w:type="dxa"/>
            <w:bottom w:w="0" w:type="dxa"/>
            <w:right w:w="0" w:type="dxa"/>
          </w:tblCellMar>
        </w:tblPrEx>
        <w:trPr>
          <w:trHeight w:val="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新增创业导师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≥50人</w:t>
            </w:r>
          </w:p>
        </w:tc>
      </w:tr>
      <w:tr>
        <w:tblPrEx>
          <w:tblCellMar>
            <w:top w:w="0" w:type="dxa"/>
            <w:left w:w="0" w:type="dxa"/>
            <w:bottom w:w="0" w:type="dxa"/>
            <w:right w:w="0" w:type="dxa"/>
          </w:tblCellMar>
        </w:tblPrEx>
        <w:trPr>
          <w:trHeight w:val="43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r>
      <w:tr>
        <w:tblPrEx>
          <w:tblCellMar>
            <w:top w:w="0" w:type="dxa"/>
            <w:left w:w="0" w:type="dxa"/>
            <w:bottom w:w="0" w:type="dxa"/>
            <w:right w:w="0" w:type="dxa"/>
          </w:tblCellMar>
        </w:tblPrEx>
        <w:trPr>
          <w:trHeight w:val="65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≥3000万元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 xml:space="preserve">≥3000万元 </w:t>
            </w:r>
          </w:p>
        </w:tc>
      </w:tr>
      <w:tr>
        <w:tblPrEx>
          <w:tblCellMar>
            <w:top w:w="0" w:type="dxa"/>
            <w:left w:w="0" w:type="dxa"/>
            <w:bottom w:w="0" w:type="dxa"/>
            <w:right w:w="0" w:type="dxa"/>
          </w:tblCellMar>
        </w:tblPrEx>
        <w:trPr>
          <w:trHeight w:val="36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投资控制率（实际财政投入/计划财政投入）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100%</w:t>
            </w:r>
          </w:p>
        </w:tc>
      </w:tr>
      <w:tr>
        <w:tblPrEx>
          <w:tblCellMar>
            <w:top w:w="0" w:type="dxa"/>
            <w:left w:w="0" w:type="dxa"/>
            <w:bottom w:w="0" w:type="dxa"/>
            <w:right w:w="0" w:type="dxa"/>
          </w:tblCellMar>
        </w:tblPrEx>
        <w:trPr>
          <w:trHeight w:val="64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改善企业发展的外环境，确保生产经营安全进行。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大幅提升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大幅提升</w:t>
            </w:r>
          </w:p>
        </w:tc>
      </w:tr>
      <w:tr>
        <w:tblPrEx>
          <w:tblCellMar>
            <w:top w:w="0" w:type="dxa"/>
            <w:left w:w="0" w:type="dxa"/>
            <w:bottom w:w="0" w:type="dxa"/>
            <w:right w:w="0" w:type="dxa"/>
          </w:tblCellMar>
        </w:tblPrEx>
        <w:trPr>
          <w:trHeight w:val="76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项目效益</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项目持续发挥作用的期限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≥5年</w:t>
            </w:r>
          </w:p>
        </w:tc>
      </w:tr>
      <w:tr>
        <w:tblPrEx>
          <w:tblCellMar>
            <w:top w:w="0" w:type="dxa"/>
            <w:left w:w="0" w:type="dxa"/>
            <w:bottom w:w="0" w:type="dxa"/>
            <w:right w:w="0" w:type="dxa"/>
          </w:tblCellMar>
        </w:tblPrEx>
        <w:trPr>
          <w:trHeight w:val="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≥95%</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农科园一期维修维护</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乐山高新技术产业开发区创新创业服务中心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7.41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7.41</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7.41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7.41</w:t>
            </w:r>
          </w:p>
        </w:tc>
      </w:tr>
      <w:tr>
        <w:tblPrEx>
          <w:tblCellMar>
            <w:top w:w="0" w:type="dxa"/>
            <w:left w:w="0" w:type="dxa"/>
            <w:bottom w:w="0" w:type="dxa"/>
            <w:right w:w="0" w:type="dxa"/>
          </w:tblCellMar>
        </w:tblPrEx>
        <w:trPr>
          <w:trHeight w:val="117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60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农业科技园一期消防维保；新增雨棚；更换屋顶天沟；1-3号楼楼梯走廊墙面乳胶漆粉刷。</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47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0"/>
                <w:szCs w:val="20"/>
              </w:rPr>
              <w:t>消防维保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Style w:val="31"/>
                <w:rFonts w:hint="default"/>
              </w:rPr>
              <w:t>≥15000m</w:t>
            </w:r>
            <w:r>
              <w:rPr>
                <w:rStyle w:val="32"/>
                <w:rFonts w:hint="default"/>
              </w:rPr>
              <w:t>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Style w:val="31"/>
                <w:rFonts w:hint="default"/>
              </w:rPr>
              <w:t>≥15000m</w:t>
            </w:r>
            <w:r>
              <w:rPr>
                <w:rStyle w:val="32"/>
                <w:rFonts w:hint="default"/>
              </w:rPr>
              <w:t>2</w:t>
            </w:r>
          </w:p>
        </w:tc>
      </w:tr>
      <w:tr>
        <w:tblPrEx>
          <w:tblCellMar>
            <w:top w:w="0" w:type="dxa"/>
            <w:left w:w="0" w:type="dxa"/>
            <w:bottom w:w="0" w:type="dxa"/>
            <w:right w:w="0" w:type="dxa"/>
          </w:tblCellMar>
        </w:tblPrEx>
        <w:trPr>
          <w:trHeight w:val="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0"/>
                <w:szCs w:val="20"/>
              </w:rPr>
              <w:t>雨棚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0"/>
                <w:szCs w:val="20"/>
              </w:rPr>
              <w:t>330米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0"/>
                <w:szCs w:val="20"/>
              </w:rPr>
              <w:t>330米</w:t>
            </w:r>
          </w:p>
        </w:tc>
      </w:tr>
      <w:tr>
        <w:tblPrEx>
          <w:tblCellMar>
            <w:top w:w="0" w:type="dxa"/>
            <w:left w:w="0" w:type="dxa"/>
            <w:bottom w:w="0" w:type="dxa"/>
            <w:right w:w="0" w:type="dxa"/>
          </w:tblCellMar>
        </w:tblPrEx>
        <w:trPr>
          <w:trHeight w:val="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0"/>
                <w:szCs w:val="20"/>
              </w:rPr>
              <w:t>天沟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0"/>
                <w:szCs w:val="20"/>
              </w:rPr>
              <w:t>300米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0"/>
                <w:szCs w:val="20"/>
              </w:rPr>
              <w:t>300米</w:t>
            </w:r>
          </w:p>
        </w:tc>
      </w:tr>
      <w:tr>
        <w:tblPrEx>
          <w:tblCellMar>
            <w:top w:w="0" w:type="dxa"/>
            <w:left w:w="0" w:type="dxa"/>
            <w:bottom w:w="0" w:type="dxa"/>
            <w:right w:w="0" w:type="dxa"/>
          </w:tblCellMar>
        </w:tblPrEx>
        <w:trPr>
          <w:trHeight w:val="43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0"/>
                <w:szCs w:val="20"/>
              </w:rPr>
              <w:t>工程验收合格率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0"/>
                <w:szCs w:val="20"/>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0"/>
                <w:szCs w:val="20"/>
              </w:rPr>
              <w:t>≥90%</w:t>
            </w:r>
          </w:p>
        </w:tc>
      </w:tr>
      <w:tr>
        <w:tblPrEx>
          <w:tblCellMar>
            <w:top w:w="0" w:type="dxa"/>
            <w:left w:w="0" w:type="dxa"/>
            <w:bottom w:w="0" w:type="dxa"/>
            <w:right w:w="0" w:type="dxa"/>
          </w:tblCellMar>
        </w:tblPrEx>
        <w:trPr>
          <w:trHeight w:val="7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实现年营业收入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≥3000万元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≥3000万元</w:t>
            </w:r>
          </w:p>
        </w:tc>
      </w:tr>
      <w:tr>
        <w:tblPrEx>
          <w:tblCellMar>
            <w:top w:w="0" w:type="dxa"/>
            <w:left w:w="0" w:type="dxa"/>
            <w:bottom w:w="0" w:type="dxa"/>
            <w:right w:w="0" w:type="dxa"/>
          </w:tblCellMar>
        </w:tblPrEx>
        <w:trPr>
          <w:trHeight w:val="36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投资控制率（实际财政投入/计划财政投入）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100%</w:t>
            </w:r>
          </w:p>
        </w:tc>
      </w:tr>
      <w:tr>
        <w:tblPrEx>
          <w:tblCellMar>
            <w:top w:w="0" w:type="dxa"/>
            <w:left w:w="0" w:type="dxa"/>
            <w:bottom w:w="0" w:type="dxa"/>
            <w:right w:w="0" w:type="dxa"/>
          </w:tblCellMar>
        </w:tblPrEx>
        <w:trPr>
          <w:trHeight w:val="64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改善企业发展的外环境，确保生产经营安全进行。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大幅提升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大幅提升</w:t>
            </w:r>
          </w:p>
        </w:tc>
      </w:tr>
      <w:tr>
        <w:tblPrEx>
          <w:tblCellMar>
            <w:top w:w="0" w:type="dxa"/>
            <w:left w:w="0" w:type="dxa"/>
            <w:bottom w:w="0" w:type="dxa"/>
            <w:right w:w="0" w:type="dxa"/>
          </w:tblCellMar>
        </w:tblPrEx>
        <w:trPr>
          <w:trHeight w:val="76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项目效益</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项目持续发挥作用的期限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≥3年</w:t>
            </w:r>
          </w:p>
        </w:tc>
      </w:tr>
      <w:tr>
        <w:tblPrEx>
          <w:tblCellMar>
            <w:top w:w="0" w:type="dxa"/>
            <w:left w:w="0" w:type="dxa"/>
            <w:bottom w:w="0" w:type="dxa"/>
            <w:right w:w="0" w:type="dxa"/>
          </w:tblCellMar>
        </w:tblPrEx>
        <w:trPr>
          <w:trHeight w:val="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≥95%</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本部门按要求对2019年部门整体支出绩效评价情况开展自评，《创新创业服务中心2019年部门整体支出绩效评价报告》见附件（附件1）。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rPr>
        <w:t>对项目开展绩效评价（附件2）。（非涉密部门均需公开部门整体支出评价报告，部门自行组织的绩效评价情况根据部门实际公开，若未组织项目绩效评价，则只需说明部门整体支出绩效评价情况）</w:t>
      </w:r>
    </w:p>
    <w:p>
      <w:pPr>
        <w:spacing w:line="580" w:lineRule="exact"/>
        <w:ind w:firstLine="643" w:firstLineChars="200"/>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59" w:name="_Toc15377225"/>
      <w:bookmarkStart w:id="60" w:name="_Toc15396613"/>
      <w:r>
        <w:rPr>
          <w:rFonts w:hint="eastAsia" w:ascii="黑体" w:hAnsi="黑体" w:eastAsia="黑体"/>
          <w:color w:val="000000"/>
          <w:sz w:val="44"/>
          <w:szCs w:val="44"/>
        </w:rPr>
        <w:t>名</w:t>
      </w:r>
      <w:r>
        <w:rPr>
          <w:rStyle w:val="25"/>
          <w:rFonts w:hint="eastAsia" w:ascii="黑体" w:hAnsi="黑体" w:eastAsia="黑体"/>
          <w:b w:val="0"/>
        </w:rPr>
        <w:t>词解释</w:t>
      </w:r>
      <w:bookmarkEnd w:id="59"/>
      <w:bookmarkEnd w:id="60"/>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 w:hAnsi="仿宋" w:eastAsia="仿宋"/>
          <w:color w:val="000000"/>
          <w:sz w:val="32"/>
          <w:szCs w:val="32"/>
        </w:rPr>
      </w:pPr>
      <w:r>
        <w:rPr>
          <w:rFonts w:ascii="仿宋_GB2312" w:eastAsia="仿宋_GB2312"/>
          <w:color w:val="000000"/>
          <w:sz w:val="32"/>
          <w:szCs w:val="32"/>
        </w:rPr>
        <w:t>9.</w:t>
      </w:r>
      <w:r>
        <w:rPr>
          <w:rFonts w:hint="eastAsia" w:ascii="仿宋" w:hAnsi="仿宋" w:eastAsia="仿宋"/>
          <w:color w:val="000000"/>
          <w:sz w:val="32"/>
          <w:szCs w:val="32"/>
        </w:rPr>
        <w:t>一般公共服务（类）政府办公厅（室）及相关机构事务（款）其他政府办公厅（室）及相关机构事务支出（项）:反映除上诉项目以外的其他政府办公厅（室）寄相关机构事务支出。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10.</w:t>
      </w:r>
      <w:r>
        <w:rPr>
          <w:rStyle w:val="15"/>
          <w:rFonts w:hint="eastAsia" w:ascii="仿宋" w:hAnsi="仿宋" w:eastAsia="仿宋"/>
          <w:b w:val="0"/>
          <w:color w:val="000000"/>
          <w:sz w:val="32"/>
          <w:szCs w:val="32"/>
        </w:rPr>
        <w:t>资源勘探信息等支出（类）支持中小企业发展和管理支出（款）科技型中小企业技术创新基金（项）:反映除上述项目以外其他用于支持中小企业发展和管理方面的支出</w:t>
      </w: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61" w:name="_Toc15377226"/>
      <w:r>
        <w:rPr>
          <w:rFonts w:ascii="宋体"/>
          <w:b/>
          <w:color w:val="000000"/>
          <w:sz w:val="44"/>
          <w:szCs w:val="44"/>
        </w:rPr>
        <w:br w:type="page"/>
      </w:r>
      <w:bookmarkStart w:id="62"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62"/>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高新区创新创业服务中心</w:t>
      </w: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20</w:t>
      </w:r>
      <w:r>
        <w:rPr>
          <w:rFonts w:ascii="方正小标宋简体" w:hAnsi="宋体" w:eastAsia="方正小标宋简体"/>
          <w:color w:val="000000"/>
          <w:kern w:val="0"/>
          <w:sz w:val="40"/>
          <w:szCs w:val="44"/>
        </w:rPr>
        <w:t>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乐山高新区创新创业服务中心是乐山高新区管委会直属事业单位,为独立法人机构，属高新区一级预算单位，无下属二级预算单位。</w:t>
      </w:r>
    </w:p>
    <w:p>
      <w:pPr>
        <w:widowControl/>
        <w:numPr>
          <w:ilvl w:val="0"/>
          <w:numId w:val="4"/>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承担高新区创新孵化工作的组织实施，园区各类科技园、孵化器、众创空间、产学研等创新创业平台的创建、管理及入孵企业的引进、服务、管理；负责科技信息事务等；承担党工委、管委会交办的其他工作任务。</w:t>
      </w:r>
    </w:p>
    <w:p>
      <w:pPr>
        <w:widowControl/>
        <w:numPr>
          <w:ilvl w:val="0"/>
          <w:numId w:val="4"/>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spacing w:line="576"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2019年编制人数为7人，其中事业编制3人，聘用人员4人。设有主任1名，副主任1名，工作人员5名。</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42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rPr>
        <w:t xml:space="preserve"> </w:t>
      </w:r>
      <w:r>
        <w:rPr>
          <w:rFonts w:hint="eastAsia" w:ascii="仿宋_GB2312" w:hAnsi="宋体" w:eastAsia="仿宋_GB2312" w:cs="宋体"/>
          <w:color w:val="000000"/>
          <w:kern w:val="0"/>
          <w:sz w:val="32"/>
          <w:szCs w:val="32"/>
          <w:shd w:val="clear" w:color="auto" w:fill="FFFFFF"/>
          <w:lang w:val="zh-CN"/>
        </w:rPr>
        <w:t xml:space="preserve">  一般公共预算财政拨款收入</w:t>
      </w:r>
      <w:r>
        <w:rPr>
          <w:rFonts w:hint="eastAsia" w:ascii="仿宋_GB2312" w:hAnsi="宋体" w:eastAsia="仿宋_GB2312" w:cs="宋体"/>
          <w:color w:val="000000"/>
          <w:kern w:val="0"/>
          <w:sz w:val="32"/>
          <w:szCs w:val="32"/>
          <w:shd w:val="clear" w:color="auto" w:fill="FFFFFF"/>
          <w:lang w:val="en-US" w:eastAsia="zh-CN"/>
        </w:rPr>
        <w:t>1193.22</w:t>
      </w:r>
      <w:r>
        <w:rPr>
          <w:rFonts w:hint="eastAsia" w:ascii="仿宋_GB2312" w:hAnsi="宋体" w:eastAsia="仿宋_GB2312" w:cs="宋体"/>
          <w:color w:val="000000"/>
          <w:kern w:val="0"/>
          <w:sz w:val="32"/>
          <w:szCs w:val="32"/>
          <w:shd w:val="clear" w:color="auto" w:fill="FFFFFF"/>
          <w:lang w:val="zh-CN"/>
        </w:rPr>
        <w:t>万元。</w:t>
      </w:r>
    </w:p>
    <w:p>
      <w:pPr>
        <w:widowControl/>
        <w:numPr>
          <w:ilvl w:val="0"/>
          <w:numId w:val="5"/>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 xml:space="preserve"> 一般公共服务支出</w:t>
      </w:r>
      <w:r>
        <w:rPr>
          <w:rFonts w:hint="eastAsia" w:ascii="仿宋_GB2312" w:hAnsi="宋体" w:eastAsia="仿宋_GB2312" w:cs="宋体"/>
          <w:color w:val="000000"/>
          <w:kern w:val="0"/>
          <w:sz w:val="32"/>
          <w:szCs w:val="32"/>
          <w:shd w:val="clear" w:color="auto" w:fill="FFFFFF"/>
          <w:lang w:val="en-US" w:eastAsia="zh-CN"/>
        </w:rPr>
        <w:t>78.25</w:t>
      </w:r>
      <w:r>
        <w:rPr>
          <w:rFonts w:hint="eastAsia" w:ascii="仿宋_GB2312" w:hAnsi="宋体" w:eastAsia="仿宋_GB2312" w:cs="宋体"/>
          <w:color w:val="000000"/>
          <w:kern w:val="0"/>
          <w:sz w:val="32"/>
          <w:szCs w:val="32"/>
          <w:shd w:val="clear" w:color="auto" w:fill="FFFFFF"/>
          <w:lang w:val="zh-CN"/>
        </w:rPr>
        <w:t>万元，资源勘探信息等支出</w:t>
      </w:r>
      <w:r>
        <w:rPr>
          <w:rFonts w:hint="eastAsia" w:ascii="仿宋_GB2312" w:hAnsi="宋体" w:eastAsia="仿宋_GB2312" w:cs="宋体"/>
          <w:color w:val="000000"/>
          <w:kern w:val="0"/>
          <w:sz w:val="32"/>
          <w:szCs w:val="32"/>
          <w:shd w:val="clear" w:color="auto" w:fill="FFFFFF"/>
          <w:lang w:val="en-US" w:eastAsia="zh-CN"/>
        </w:rPr>
        <w:t>983.50</w:t>
      </w:r>
      <w:r>
        <w:rPr>
          <w:rFonts w:hint="eastAsia" w:ascii="仿宋_GB2312" w:hAnsi="宋体" w:eastAsia="仿宋_GB2312" w:cs="宋体"/>
          <w:color w:val="000000"/>
          <w:kern w:val="0"/>
          <w:sz w:val="32"/>
          <w:szCs w:val="32"/>
          <w:shd w:val="clear" w:color="auto" w:fill="FFFFFF"/>
          <w:lang w:val="zh-CN"/>
        </w:rPr>
        <w:t>万元，合计支出</w:t>
      </w:r>
      <w:r>
        <w:rPr>
          <w:rFonts w:hint="eastAsia" w:ascii="仿宋_GB2312" w:hAnsi="宋体" w:eastAsia="仿宋_GB2312" w:cs="宋体"/>
          <w:color w:val="000000"/>
          <w:kern w:val="0"/>
          <w:sz w:val="32"/>
          <w:szCs w:val="32"/>
          <w:shd w:val="clear" w:color="auto" w:fill="FFFFFF"/>
          <w:lang w:val="en-US" w:eastAsia="zh-CN"/>
        </w:rPr>
        <w:t>1061.75</w:t>
      </w:r>
      <w:r>
        <w:rPr>
          <w:rFonts w:hint="eastAsia" w:ascii="仿宋_GB2312" w:hAnsi="宋体" w:eastAsia="仿宋_GB2312" w:cs="宋体"/>
          <w:color w:val="000000"/>
          <w:kern w:val="0"/>
          <w:sz w:val="32"/>
          <w:szCs w:val="32"/>
          <w:shd w:val="clear" w:color="auto" w:fill="FFFFFF"/>
          <w:lang w:val="zh-CN"/>
        </w:rPr>
        <w:t>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1.本中心严格执行预算编制程序，本着收支平衡的原则，按时编制2019年年初预算，编制单位预算指标建议数，报经上级审核下达经费指标后再调整编制正式预算。</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2.本中心按要求填写每个项目可行性报告，按时执行预算公开及绩效目标填报等工作，无转移支付提前下达及专项转移支付分地区分项目编制等情况。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1.按照区财政局要求，本中心按时编制2019年年初预算，按要求填写每个项目绩效申报表，按时执行预算公开。</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2.本中心严格贯彻执行中央八项规定</w:t>
      </w:r>
      <w:bookmarkStart w:id="77" w:name="_GoBack"/>
      <w:bookmarkEnd w:id="77"/>
      <w:r>
        <w:rPr>
          <w:rFonts w:hint="eastAsia" w:ascii="仿宋_GB2312" w:hAnsi="宋体" w:eastAsia="仿宋_GB2312" w:cs="宋体"/>
          <w:color w:val="000000"/>
          <w:kern w:val="0"/>
          <w:sz w:val="32"/>
          <w:szCs w:val="32"/>
          <w:shd w:val="clear" w:color="auto" w:fill="FFFFFF"/>
          <w:lang w:val="zh-CN"/>
        </w:rPr>
        <w:t>、省市“十项规定”等政策精神，“三公”经费呈逐年下降趋势。</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本中心严格按照《预算法》及高新区管委会的要求编制预决算，资金的使用、管理上严格执行相关财经法规及制度,成效明显,主要体现在以下几个方面：</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1.资金使用效益合理有效，资金使用无虚列支出及随意使用现象,无现金支付现象。</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2.资金使用社会效益好，充分发挥了财政资金作用，促进了孵化器建设工作，推动了孵化载体和孵化服务平台建设。</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根据财政整体支出绩效评价的内容要求，本中心的自查结果为“良好”。</w:t>
      </w:r>
    </w:p>
    <w:p>
      <w:pPr>
        <w:widowControl/>
        <w:adjustRightInd w:val="0"/>
        <w:snapToGrid w:val="0"/>
        <w:spacing w:line="580" w:lineRule="exact"/>
        <w:ind w:left="420" w:left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rPr>
        <w:t>二</w:t>
      </w:r>
      <w:r>
        <w:rPr>
          <w:rFonts w:hint="eastAsia" w:ascii="仿宋_GB2312" w:hAnsi="宋体" w:eastAsia="仿宋_GB2312" w:cs="宋体"/>
          <w:color w:val="000000"/>
          <w:kern w:val="0"/>
          <w:sz w:val="32"/>
          <w:szCs w:val="32"/>
          <w:shd w:val="clear" w:color="auto" w:fill="FFFFFF"/>
          <w:lang w:val="zh-CN"/>
        </w:rPr>
        <w:t>）存在问题。</w:t>
      </w:r>
    </w:p>
    <w:p>
      <w:pPr>
        <w:spacing w:line="58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农业科技园一期厂房电气消防改造工程项目因项目不确定性大，导致预算执行情况不够理想；因乐山中科创新创业科技信息中心项目调整为从中心承担的科技项目中开支，年中调减该预算。</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在今后的工作更加合理地进行预算编制，基本支出做到细化精确，并加强项目实施过程的规范化管理。特别在工程类项目上加强与实施单位间的协作沟通，督促其按照项目目标加快实施。</w:t>
      </w: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XXX</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包括项目完成数量、质量、时效、成本等情况，对照项目计划完成目标，对截止评价时点的任务量完成、质量标准、进度计划、成本控制目标的实现程度进行评价，并进行分析说明。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结合自评情况，分析存在的问题及原因。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针对项目自评中发现的问题，提出下一步改进完善的意见及有关政策性建议。</w:t>
      </w:r>
    </w:p>
    <w:p>
      <w:pPr>
        <w:spacing w:line="580" w:lineRule="exact"/>
        <w:ind w:firstLine="640" w:firstLineChars="200"/>
        <w:rPr>
          <w:rFonts w:ascii="仿宋_GB2312" w:hAnsi="仿宋_GB2312" w:eastAsia="仿宋_GB2312" w:cs="仿宋_GB2312"/>
          <w:sz w:val="32"/>
          <w:szCs w:val="32"/>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bookmarkStart w:id="63"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61"/>
      <w:bookmarkEnd w:id="63"/>
    </w:p>
    <w:p>
      <w:pPr>
        <w:spacing w:line="600" w:lineRule="exact"/>
        <w:jc w:val="center"/>
        <w:outlineLvl w:val="0"/>
        <w:rPr>
          <w:rFonts w:ascii="仿宋" w:hAnsi="仿宋" w:eastAsia="仿宋"/>
          <w:b/>
          <w:color w:val="000000"/>
          <w:sz w:val="44"/>
          <w:szCs w:val="44"/>
        </w:rPr>
      </w:pPr>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4"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4"/>
    </w:p>
    <w:p>
      <w:pPr>
        <w:pStyle w:val="3"/>
        <w:rPr>
          <w:rFonts w:ascii="仿宋" w:hAnsi="仿宋" w:eastAsia="仿宋"/>
          <w:color w:val="000000"/>
        </w:rPr>
      </w:pPr>
      <w:bookmarkStart w:id="65"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5"/>
    </w:p>
    <w:p>
      <w:pPr>
        <w:pStyle w:val="3"/>
        <w:rPr>
          <w:rFonts w:ascii="仿宋" w:hAnsi="仿宋" w:eastAsia="仿宋"/>
          <w:color w:val="000000"/>
        </w:rPr>
      </w:pPr>
      <w:bookmarkStart w:id="66"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6"/>
    </w:p>
    <w:p>
      <w:pPr>
        <w:pStyle w:val="3"/>
        <w:rPr>
          <w:rFonts w:ascii="仿宋" w:hAnsi="仿宋" w:eastAsia="仿宋"/>
          <w:b w:val="0"/>
          <w:color w:val="000000"/>
        </w:rPr>
      </w:pPr>
      <w:bookmarkStart w:id="67"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7"/>
    </w:p>
    <w:p>
      <w:pPr>
        <w:pStyle w:val="3"/>
        <w:rPr>
          <w:rStyle w:val="26"/>
          <w:rFonts w:ascii="仿宋" w:hAnsi="仿宋" w:eastAsia="仿宋"/>
          <w:b w:val="0"/>
          <w:bCs w:val="0"/>
        </w:rPr>
      </w:pPr>
      <w:bookmarkStart w:id="68"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8"/>
      <w:bookmarkStart w:id="69"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9"/>
    </w:p>
    <w:p>
      <w:pPr>
        <w:pStyle w:val="3"/>
        <w:rPr>
          <w:rFonts w:ascii="仿宋" w:hAnsi="仿宋" w:eastAsia="仿宋"/>
          <w:color w:val="000000"/>
        </w:rPr>
      </w:pPr>
      <w:bookmarkStart w:id="70"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70"/>
    </w:p>
    <w:p>
      <w:pPr>
        <w:pStyle w:val="3"/>
        <w:rPr>
          <w:rFonts w:ascii="仿宋" w:hAnsi="仿宋" w:eastAsia="仿宋"/>
          <w:color w:val="000000"/>
        </w:rPr>
      </w:pPr>
      <w:bookmarkStart w:id="71"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71"/>
    </w:p>
    <w:p>
      <w:pPr>
        <w:pStyle w:val="3"/>
        <w:rPr>
          <w:rFonts w:ascii="仿宋" w:hAnsi="仿宋" w:eastAsia="仿宋"/>
          <w:color w:val="000000"/>
        </w:rPr>
      </w:pPr>
      <w:bookmarkStart w:id="72"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2"/>
    </w:p>
    <w:p>
      <w:pPr>
        <w:pStyle w:val="3"/>
        <w:rPr>
          <w:rFonts w:ascii="仿宋" w:hAnsi="仿宋" w:eastAsia="仿宋"/>
          <w:color w:val="000000"/>
        </w:rPr>
      </w:pPr>
      <w:bookmarkStart w:id="73"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3"/>
    </w:p>
    <w:p>
      <w:pPr>
        <w:pStyle w:val="3"/>
        <w:rPr>
          <w:rFonts w:ascii="仿宋" w:hAnsi="仿宋" w:eastAsia="仿宋"/>
          <w:color w:val="000000"/>
        </w:rPr>
      </w:pPr>
      <w:bookmarkStart w:id="74"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4"/>
    </w:p>
    <w:p>
      <w:pPr>
        <w:pStyle w:val="3"/>
        <w:rPr>
          <w:rFonts w:ascii="仿宋" w:hAnsi="仿宋" w:eastAsia="仿宋"/>
          <w:color w:val="000000"/>
        </w:rPr>
      </w:pPr>
      <w:bookmarkStart w:id="75"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5"/>
    </w:p>
    <w:p>
      <w:pPr>
        <w:pStyle w:val="3"/>
        <w:rPr>
          <w:rFonts w:ascii="仿宋" w:hAnsi="仿宋" w:eastAsia="仿宋"/>
          <w:color w:val="000000" w:themeColor="text1"/>
          <w14:textFill>
            <w14:solidFill>
              <w14:schemeClr w14:val="tx1"/>
            </w14:solidFill>
          </w14:textFill>
        </w:rPr>
      </w:pPr>
      <w:bookmarkStart w:id="76"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89971"/>
    <w:multiLevelType w:val="singleLevel"/>
    <w:tmpl w:val="86089971"/>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D49760E"/>
    <w:multiLevelType w:val="singleLevel"/>
    <w:tmpl w:val="DD49760E"/>
    <w:lvl w:ilvl="0" w:tentative="0">
      <w:start w:val="2"/>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YWY0OTM4ZmFlYzQxNzJhOTJlYTQ3NDJmMjFjMz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7302D"/>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05DAF"/>
    <w:rsid w:val="00512FDA"/>
    <w:rsid w:val="00520DA0"/>
    <w:rsid w:val="005664BB"/>
    <w:rsid w:val="00566FFA"/>
    <w:rsid w:val="0057481D"/>
    <w:rsid w:val="00575F0B"/>
    <w:rsid w:val="0058486E"/>
    <w:rsid w:val="00585B33"/>
    <w:rsid w:val="0059014D"/>
    <w:rsid w:val="005A791A"/>
    <w:rsid w:val="005B5C64"/>
    <w:rsid w:val="005C6BD0"/>
    <w:rsid w:val="005C6C4C"/>
    <w:rsid w:val="005D1C8B"/>
    <w:rsid w:val="005D468D"/>
    <w:rsid w:val="005D5CED"/>
    <w:rsid w:val="005F1A4C"/>
    <w:rsid w:val="006051A7"/>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59EF"/>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4E9C"/>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E0AD4"/>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48C8"/>
    <w:rsid w:val="00AD5620"/>
    <w:rsid w:val="00AD656B"/>
    <w:rsid w:val="00AD7C1B"/>
    <w:rsid w:val="00AE16BA"/>
    <w:rsid w:val="00AE1EBE"/>
    <w:rsid w:val="00B03C9D"/>
    <w:rsid w:val="00B060AE"/>
    <w:rsid w:val="00B10517"/>
    <w:rsid w:val="00B14E76"/>
    <w:rsid w:val="00B161B8"/>
    <w:rsid w:val="00B2048C"/>
    <w:rsid w:val="00B310B9"/>
    <w:rsid w:val="00B35ADB"/>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B4042"/>
    <w:rsid w:val="00FD3CC1"/>
    <w:rsid w:val="00FF1E02"/>
    <w:rsid w:val="00FF30B4"/>
    <w:rsid w:val="0B197354"/>
    <w:rsid w:val="10C055FF"/>
    <w:rsid w:val="16BB723D"/>
    <w:rsid w:val="20534550"/>
    <w:rsid w:val="240371BF"/>
    <w:rsid w:val="26C6307D"/>
    <w:rsid w:val="29FD04D3"/>
    <w:rsid w:val="2E5541C6"/>
    <w:rsid w:val="319F7F4E"/>
    <w:rsid w:val="3314264B"/>
    <w:rsid w:val="38314454"/>
    <w:rsid w:val="3A8500FA"/>
    <w:rsid w:val="3B1C771A"/>
    <w:rsid w:val="40893BC0"/>
    <w:rsid w:val="47515AED"/>
    <w:rsid w:val="48003418"/>
    <w:rsid w:val="4C9A757A"/>
    <w:rsid w:val="4ECE2238"/>
    <w:rsid w:val="5396748F"/>
    <w:rsid w:val="5B8F429A"/>
    <w:rsid w:val="6661191B"/>
    <w:rsid w:val="6B3D322B"/>
    <w:rsid w:val="6C3E5F0E"/>
    <w:rsid w:val="6FF2313D"/>
    <w:rsid w:val="72734D90"/>
    <w:rsid w:val="76E22C45"/>
    <w:rsid w:val="782A6F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100" w:beforeAutospacing="1" w:after="100" w:afterAutospacing="1"/>
      <w:jc w:val="left"/>
    </w:pPr>
    <w:rPr>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font11"/>
    <w:basedOn w:val="14"/>
    <w:qFormat/>
    <w:uiPriority w:val="0"/>
    <w:rPr>
      <w:rFonts w:hint="eastAsia" w:ascii="宋体" w:hAnsi="宋体" w:eastAsia="宋体" w:cs="宋体"/>
      <w:color w:val="000000"/>
      <w:sz w:val="20"/>
      <w:szCs w:val="20"/>
      <w:u w:val="none"/>
    </w:rPr>
  </w:style>
  <w:style w:type="character" w:customStyle="1" w:styleId="32">
    <w:name w:val="font0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图1：收、支决算总计变动情况图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[工作簿1]Sheet1!$C$8:$D$8</c:f>
              <c:strCache>
                <c:ptCount val="2"/>
                <c:pt idx="0">
                  <c:v>2019年收支（万元）</c:v>
                </c:pt>
                <c:pt idx="1">
                  <c:v>2018年收支（万元）</c:v>
                </c:pt>
              </c:strCache>
            </c:strRef>
          </c:cat>
          <c:val>
            <c:numRef>
              <c:f>[工作簿1]Sheet1!$C$9:$D$9</c:f>
              <c:numCache>
                <c:formatCode>General</c:formatCode>
                <c:ptCount val="2"/>
                <c:pt idx="0">
                  <c:v>1356.43</c:v>
                </c:pt>
                <c:pt idx="1">
                  <c:v>92.33</c:v>
                </c:pt>
              </c:numCache>
            </c:numRef>
          </c:val>
        </c:ser>
        <c:dLbls>
          <c:showLegendKey val="0"/>
          <c:showVal val="0"/>
          <c:showCatName val="0"/>
          <c:showSerName val="0"/>
          <c:showPercent val="0"/>
          <c:showBubbleSize val="0"/>
        </c:dLbls>
        <c:gapWidth val="219"/>
        <c:overlap val="-27"/>
        <c:axId val="76798208"/>
        <c:axId val="77924224"/>
      </c:barChart>
      <c:catAx>
        <c:axId val="7679820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924224"/>
        <c:crosses val="autoZero"/>
        <c:auto val="1"/>
        <c:lblAlgn val="ctr"/>
        <c:lblOffset val="100"/>
        <c:noMultiLvlLbl val="0"/>
      </c:catAx>
      <c:valAx>
        <c:axId val="779242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798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图2：收入决算结构图</a:t>
            </a: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rgbClr val="FFFF00"/>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rgbClr val="92D050"/>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[工作簿1]Sheet1!$C$12:$I$12</c:f>
              <c:strCache>
                <c:ptCount val="7"/>
                <c:pt idx="0">
                  <c:v>一般公共预算财政拨款</c:v>
                </c:pt>
                <c:pt idx="1">
                  <c:v>政府性基金预算财政拨款</c:v>
                </c:pt>
                <c:pt idx="2">
                  <c:v>上级补助收入</c:v>
                </c:pt>
                <c:pt idx="3">
                  <c:v>事业收入</c:v>
                </c:pt>
                <c:pt idx="4">
                  <c:v>经营收入</c:v>
                </c:pt>
                <c:pt idx="5">
                  <c:v>附属单位上缴收入</c:v>
                </c:pt>
                <c:pt idx="6">
                  <c:v>其他收入</c:v>
                </c:pt>
              </c:strCache>
            </c:strRef>
          </c:cat>
          <c:val>
            <c:numRef>
              <c:f>[工作簿1]Sheet1!$C$13:$I$13</c:f>
              <c:numCache>
                <c:formatCode>General</c:formatCode>
                <c:ptCount val="7"/>
                <c:pt idx="0">
                  <c:v>1178.22</c:v>
                </c:pt>
                <c:pt idx="1">
                  <c:v>0</c:v>
                </c:pt>
                <c:pt idx="2">
                  <c:v>0</c:v>
                </c:pt>
                <c:pt idx="3">
                  <c:v>0</c:v>
                </c:pt>
                <c:pt idx="4">
                  <c:v>0</c:v>
                </c:pt>
                <c:pt idx="5">
                  <c:v>0</c:v>
                </c:pt>
                <c:pt idx="6">
                  <c:v>15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图3：支出决算结构图</a:t>
            </a:r>
          </a:p>
        </c:rich>
      </c:tx>
      <c:layout>
        <c:manualLayout>
          <c:xMode val="edge"/>
          <c:yMode val="edge"/>
          <c:x val="0.312361111111111"/>
          <c:y val="0.038367127227166"/>
        </c:manualLayout>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4"/>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[工作簿1]Sheet1!$C$16:$G$16</c:f>
              <c:strCache>
                <c:ptCount val="5"/>
                <c:pt idx="0">
                  <c:v>基本支出</c:v>
                </c:pt>
                <c:pt idx="1">
                  <c:v>项目支出</c:v>
                </c:pt>
                <c:pt idx="2">
                  <c:v>上缴上级支出</c:v>
                </c:pt>
                <c:pt idx="3">
                  <c:v>经营支出</c:v>
                </c:pt>
                <c:pt idx="4">
                  <c:v>对附属单位补助支出</c:v>
                </c:pt>
              </c:strCache>
            </c:strRef>
          </c:cat>
          <c:val>
            <c:numRef>
              <c:f>[工作簿1]Sheet1!$C$17:$G$17</c:f>
              <c:numCache>
                <c:formatCode>General</c:formatCode>
                <c:ptCount val="5"/>
                <c:pt idx="0">
                  <c:v>63.54</c:v>
                </c:pt>
                <c:pt idx="1">
                  <c:v>998.2</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图4：财政拨款收、支决算总计变动情况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[工作簿1]Sheet1!$D$9:$E$9</c:f>
              <c:strCache>
                <c:ptCount val="2"/>
                <c:pt idx="0">
                  <c:v>2019年财政拨款收、支总计（万元）</c:v>
                </c:pt>
                <c:pt idx="1">
                  <c:v>2018年财政拨款收、支总计（万元）</c:v>
                </c:pt>
              </c:strCache>
            </c:strRef>
          </c:cat>
          <c:val>
            <c:numRef>
              <c:f>[工作簿1]Sheet1!$D$10:$E$10</c:f>
              <c:numCache>
                <c:formatCode>General</c:formatCode>
                <c:ptCount val="2"/>
                <c:pt idx="0">
                  <c:v>1356.43</c:v>
                </c:pt>
                <c:pt idx="1">
                  <c:v>92.3</c:v>
                </c:pt>
              </c:numCache>
            </c:numRef>
          </c:val>
        </c:ser>
        <c:dLbls>
          <c:showLegendKey val="0"/>
          <c:showVal val="1"/>
          <c:showCatName val="0"/>
          <c:showSerName val="0"/>
          <c:showPercent val="0"/>
          <c:showBubbleSize val="0"/>
        </c:dLbls>
        <c:gapWidth val="219"/>
        <c:overlap val="-27"/>
        <c:axId val="64080739"/>
        <c:axId val="345755981"/>
      </c:barChart>
      <c:catAx>
        <c:axId val="6408073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5755981"/>
        <c:crosses val="autoZero"/>
        <c:auto val="1"/>
        <c:lblAlgn val="ctr"/>
        <c:lblOffset val="100"/>
        <c:noMultiLvlLbl val="0"/>
      </c:catAx>
      <c:valAx>
        <c:axId val="34575598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0807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图5：一般公共预算财政拨款支出决算变动情况</a:t>
            </a:r>
            <a:endParaRPr sz="1200"/>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[工作簿1]Sheet1!$D$14:$E$14</c:f>
              <c:strCache>
                <c:ptCount val="2"/>
                <c:pt idx="0">
                  <c:v>2019年一般公共预算财政拨款支出（万元）</c:v>
                </c:pt>
                <c:pt idx="1">
                  <c:v>2018年一般公共预算财政拨款支出（万元）</c:v>
                </c:pt>
              </c:strCache>
            </c:strRef>
          </c:cat>
          <c:val>
            <c:numRef>
              <c:f>[工作簿1]Sheet1!$D$15:$E$15</c:f>
              <c:numCache>
                <c:formatCode>General</c:formatCode>
                <c:ptCount val="2"/>
                <c:pt idx="0">
                  <c:v>958.78</c:v>
                </c:pt>
                <c:pt idx="1">
                  <c:v>66.75</c:v>
                </c:pt>
              </c:numCache>
            </c:numRef>
          </c:val>
        </c:ser>
        <c:dLbls>
          <c:showLegendKey val="0"/>
          <c:showVal val="1"/>
          <c:showCatName val="0"/>
          <c:showSerName val="0"/>
          <c:showPercent val="0"/>
          <c:showBubbleSize val="0"/>
        </c:dLbls>
        <c:gapWidth val="219"/>
        <c:overlap val="-27"/>
        <c:axId val="843161254"/>
        <c:axId val="84536597"/>
      </c:barChart>
      <c:catAx>
        <c:axId val="84316125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536597"/>
        <c:crosses val="autoZero"/>
        <c:auto val="1"/>
        <c:lblAlgn val="ctr"/>
        <c:lblOffset val="100"/>
        <c:noMultiLvlLbl val="0"/>
      </c:catAx>
      <c:valAx>
        <c:axId val="8453659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316125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spc="0" baseline="0">
                <a:solidFill>
                  <a:schemeClr val="tx1">
                    <a:lumMod val="65000"/>
                    <a:lumOff val="35000"/>
                  </a:schemeClr>
                </a:solidFill>
                <a:latin typeface="+mn-lt"/>
                <a:ea typeface="+mn-ea"/>
                <a:cs typeface="+mn-cs"/>
              </a:defRPr>
            </a:pPr>
            <a:r>
              <a:rPr sz="1200"/>
              <a:t>图6：一般公共预算财政拨款支出决算结构</a:t>
            </a:r>
            <a:endParaRPr sz="1200"/>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[工作簿1]Sheet1!$C$31:$J$31</c:f>
              <c:strCache>
                <c:ptCount val="8"/>
                <c:pt idx="0">
                  <c:v>一般公共服务</c:v>
                </c:pt>
                <c:pt idx="1">
                  <c:v>教育支出</c:v>
                </c:pt>
                <c:pt idx="2">
                  <c:v>科学技术</c:v>
                </c:pt>
                <c:pt idx="3">
                  <c:v>文化旅游体育与传媒</c:v>
                </c:pt>
                <c:pt idx="4">
                  <c:v>社会保障和就业</c:v>
                </c:pt>
                <c:pt idx="5">
                  <c:v>卫生健康支出</c:v>
                </c:pt>
                <c:pt idx="6">
                  <c:v>住房保障支出</c:v>
                </c:pt>
                <c:pt idx="7">
                  <c:v>资源勘探信息支出</c:v>
                </c:pt>
              </c:strCache>
            </c:strRef>
          </c:cat>
          <c:val>
            <c:numRef>
              <c:f>[工作簿1]Sheet1!$C$32:$J$32</c:f>
              <c:numCache>
                <c:formatCode>General</c:formatCode>
                <c:ptCount val="8"/>
                <c:pt idx="0">
                  <c:v>78.25</c:v>
                </c:pt>
                <c:pt idx="1">
                  <c:v>0</c:v>
                </c:pt>
                <c:pt idx="2">
                  <c:v>0</c:v>
                </c:pt>
                <c:pt idx="4">
                  <c:v>0</c:v>
                </c:pt>
                <c:pt idx="5">
                  <c:v>0</c:v>
                </c:pt>
                <c:pt idx="6">
                  <c:v>0</c:v>
                </c:pt>
                <c:pt idx="7">
                  <c:v>880.53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图7：“三公”经费财政拨款支出结构</a:t>
            </a: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rgbClr val="92D050"/>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[工作簿1]Sheet1!$C$37:$E$37</c:f>
              <c:strCache>
                <c:ptCount val="3"/>
                <c:pt idx="0">
                  <c:v>因公出国（境）费(万元)</c:v>
                </c:pt>
                <c:pt idx="1">
                  <c:v>公务用车购置及运行维护费(万元)</c:v>
                </c:pt>
                <c:pt idx="2">
                  <c:v>公务接待费(万元)</c:v>
                </c:pt>
              </c:strCache>
            </c:strRef>
          </c:cat>
          <c:val>
            <c:numRef>
              <c:f>[工作簿1]Sheet1!$C$38:$E$38</c:f>
              <c:numCache>
                <c:formatCode>General</c:formatCode>
                <c:ptCount val="3"/>
                <c:pt idx="0">
                  <c:v>0</c:v>
                </c:pt>
                <c:pt idx="1">
                  <c:v>0</c:v>
                </c:pt>
                <c:pt idx="2">
                  <c:v>0.17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26D16-02E5-4C7D-8402-7E01247797AC}">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32</Pages>
  <Words>11041</Words>
  <Characters>11737</Characters>
  <Lines>78</Lines>
  <Paragraphs>22</Paragraphs>
  <TotalTime>5</TotalTime>
  <ScaleCrop>false</ScaleCrop>
  <LinksUpToDate>false</LinksUpToDate>
  <CharactersWithSpaces>11806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徐乐</cp:lastModifiedBy>
  <cp:lastPrinted>2020-07-23T02:58:00Z</cp:lastPrinted>
  <dcterms:modified xsi:type="dcterms:W3CDTF">2023-03-24T01:50:09Z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A92458E377884046BAAE1EA6E44C5982</vt:lpwstr>
  </property>
</Properties>
</file>